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847" w:rsidRPr="00B451C4" w:rsidRDefault="00643E38" w:rsidP="00F66847">
      <w:pPr>
        <w:jc w:val="center"/>
        <w:rPr>
          <w:spacing w:val="-5"/>
          <w:sz w:val="22"/>
          <w:szCs w:val="22"/>
        </w:rPr>
      </w:pPr>
      <w:r>
        <w:rPr>
          <w:b/>
          <w:bCs/>
          <w:sz w:val="22"/>
          <w:szCs w:val="22"/>
        </w:rPr>
        <w:t>ТЕХНИЧЕСКОЕ ЗАДАНИЕ</w:t>
      </w:r>
    </w:p>
    <w:p w:rsidR="00F66847" w:rsidRDefault="00F66847" w:rsidP="00F66847">
      <w:pPr>
        <w:spacing w:line="276" w:lineRule="auto"/>
        <w:jc w:val="center"/>
        <w:rPr>
          <w:b/>
          <w:sz w:val="22"/>
          <w:szCs w:val="22"/>
        </w:rPr>
      </w:pPr>
      <w:r w:rsidRPr="00B451C4">
        <w:rPr>
          <w:b/>
          <w:sz w:val="22"/>
          <w:szCs w:val="22"/>
        </w:rPr>
        <w:t xml:space="preserve">на выполнение инженерных изысканий для устройства </w:t>
      </w:r>
      <w:proofErr w:type="spellStart"/>
      <w:r w:rsidRPr="00B451C4">
        <w:rPr>
          <w:b/>
          <w:sz w:val="22"/>
          <w:szCs w:val="22"/>
        </w:rPr>
        <w:t>светодинамических</w:t>
      </w:r>
      <w:proofErr w:type="spellEnd"/>
      <w:r w:rsidRPr="00B451C4">
        <w:rPr>
          <w:b/>
          <w:sz w:val="22"/>
          <w:szCs w:val="22"/>
        </w:rPr>
        <w:t xml:space="preserve"> растяжек с целью поддержки развития благоустройства города Мурманска</w:t>
      </w:r>
    </w:p>
    <w:p w:rsidR="00C22AC0" w:rsidRPr="00B451C4" w:rsidRDefault="00C22AC0" w:rsidP="00F66847">
      <w:pPr>
        <w:spacing w:line="276" w:lineRule="auto"/>
        <w:jc w:val="center"/>
        <w:rPr>
          <w:sz w:val="22"/>
          <w:szCs w:val="22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2977"/>
        <w:gridCol w:w="6095"/>
      </w:tblGrid>
      <w:tr w:rsidR="00F66847" w:rsidRPr="0051115E" w:rsidTr="000D282D">
        <w:trPr>
          <w:trHeight w:val="699"/>
        </w:trPr>
        <w:tc>
          <w:tcPr>
            <w:tcW w:w="704" w:type="dxa"/>
            <w:vAlign w:val="center"/>
          </w:tcPr>
          <w:p w:rsidR="00F66847" w:rsidRPr="0051115E" w:rsidRDefault="00F66847" w:rsidP="00F66847">
            <w:pPr>
              <w:jc w:val="center"/>
            </w:pPr>
            <w:r w:rsidRPr="0051115E">
              <w:rPr>
                <w:b/>
              </w:rPr>
              <w:t>№ п/п</w:t>
            </w: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jc w:val="center"/>
            </w:pPr>
            <w:r w:rsidRPr="0051115E">
              <w:rPr>
                <w:b/>
              </w:rPr>
              <w:t>Перечень основных данных и требований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jc w:val="center"/>
            </w:pPr>
            <w:r w:rsidRPr="0051115E">
              <w:rPr>
                <w:b/>
              </w:rPr>
              <w:t>Содержание</w:t>
            </w:r>
          </w:p>
        </w:tc>
      </w:tr>
      <w:tr w:rsidR="00F66847" w:rsidRPr="0051115E" w:rsidTr="000D282D">
        <w:trPr>
          <w:trHeight w:val="977"/>
        </w:trPr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952D90">
            <w:r w:rsidRPr="0051115E">
              <w:t>Наименование и вид объекта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C22AC0">
            <w:pPr>
              <w:jc w:val="both"/>
            </w:pPr>
            <w:r w:rsidRPr="0051115E">
              <w:t>Выполнение проектно-изыскательских работ территории проспекта Ленина (согласно приложению № 1 к Техническому заданию), расположенной в центре города Мурманск</w:t>
            </w:r>
            <w:r w:rsidR="00C22AC0">
              <w:t>а</w:t>
            </w:r>
            <w:r w:rsidRPr="0051115E">
              <w:t>.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952D90" w:rsidRDefault="00F66847" w:rsidP="00952D90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spacing w:val="-2"/>
                <w:sz w:val="22"/>
                <w:szCs w:val="22"/>
                <w:lang w:eastAsia="ru-RU"/>
              </w:rPr>
            </w:pPr>
            <w:r w:rsidRPr="0051115E">
              <w:rPr>
                <w:rFonts w:ascii="Times New Roman" w:hAnsi="Times New Roman" w:cs="Times New Roman"/>
                <w:sz w:val="22"/>
                <w:szCs w:val="22"/>
              </w:rPr>
              <w:t xml:space="preserve">Идентификационные сведения об объекте. </w:t>
            </w:r>
          </w:p>
          <w:p w:rsidR="00F66847" w:rsidRPr="0051115E" w:rsidRDefault="00F66847" w:rsidP="00952D9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1115E">
              <w:rPr>
                <w:rFonts w:ascii="Times New Roman" w:eastAsia="Times New Roman" w:hAnsi="Times New Roman" w:cs="Times New Roman"/>
                <w:bCs/>
                <w:iCs/>
                <w:spacing w:val="-2"/>
                <w:sz w:val="22"/>
                <w:szCs w:val="22"/>
                <w:lang w:eastAsia="ru-RU"/>
              </w:rPr>
              <w:t>Адрес объекта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pStyle w:val="a4"/>
              <w:ind w:left="0"/>
              <w:jc w:val="both"/>
              <w:rPr>
                <w:rFonts w:ascii="Times New Roman" w:hAnsi="Times New Roman" w:cs="Times New Roman"/>
              </w:rPr>
            </w:pPr>
            <w:r w:rsidRPr="0051115E">
              <w:rPr>
                <w:rFonts w:ascii="Times New Roman" w:hAnsi="Times New Roman" w:cs="Times New Roman"/>
              </w:rPr>
              <w:t xml:space="preserve">Общественная территория. Проходит с юга на север через центр города. </w:t>
            </w:r>
          </w:p>
          <w:p w:rsidR="00F66847" w:rsidRPr="0051115E" w:rsidRDefault="00F66847" w:rsidP="00F66847">
            <w:pPr>
              <w:pStyle w:val="a4"/>
              <w:ind w:left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1115E">
              <w:rPr>
                <w:rFonts w:ascii="Times New Roman" w:hAnsi="Times New Roman" w:cs="Times New Roman"/>
              </w:rPr>
              <w:t>Участки по адресу: г. Мурманск, пр. Ленина, д. 82 – пр. Ленина, д. 90, г. Мурманск, пр. Ленина, д. 50 – пр. Ленина, д. 1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952D90">
            <w:pPr>
              <w:pStyle w:val="Standard"/>
              <w:rPr>
                <w:rFonts w:ascii="Times New Roman" w:eastAsia="Times New Roman" w:hAnsi="Times New Roman" w:cs="Times New Roman"/>
                <w:bCs/>
                <w:iCs/>
                <w:sz w:val="22"/>
                <w:szCs w:val="22"/>
                <w:lang w:eastAsia="ru-RU"/>
              </w:rPr>
            </w:pPr>
            <w:r w:rsidRPr="0051115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Заказчик работ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jc w:val="both"/>
              <w:rPr>
                <w:rFonts w:eastAsiaTheme="minorHAnsi"/>
              </w:rPr>
            </w:pPr>
            <w:r w:rsidRPr="0051115E">
              <w:rPr>
                <w:lang w:eastAsia="en-US"/>
              </w:rPr>
              <w:t xml:space="preserve">АНО «Центр городского развития Мурманской области» </w:t>
            </w:r>
          </w:p>
        </w:tc>
      </w:tr>
      <w:tr w:rsidR="00F66847" w:rsidRPr="0051115E" w:rsidTr="00DD1B84">
        <w:trPr>
          <w:trHeight w:val="1130"/>
        </w:trPr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952D9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1115E">
              <w:rPr>
                <w:rFonts w:ascii="Times New Roman" w:hAnsi="Times New Roman" w:cs="Times New Roman"/>
                <w:sz w:val="22"/>
                <w:szCs w:val="22"/>
              </w:rPr>
              <w:t>Вид строительства (новое строительство, реконструкция, благоустройство)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1115E">
              <w:rPr>
                <w:rFonts w:ascii="Times New Roman" w:hAnsi="Times New Roman" w:cs="Times New Roman"/>
                <w:sz w:val="22"/>
                <w:szCs w:val="22"/>
              </w:rPr>
              <w:t xml:space="preserve">Благоустройство территории. Изыскания проводятся в целях дальнейшего устройства и установки силовых опор согласно приложению № 1. </w:t>
            </w:r>
          </w:p>
        </w:tc>
      </w:tr>
      <w:tr w:rsidR="00F66847" w:rsidRPr="0051115E" w:rsidTr="00DD1B84">
        <w:trPr>
          <w:trHeight w:val="552"/>
        </w:trPr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952D9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1115E">
              <w:rPr>
                <w:rFonts w:ascii="Times New Roman" w:eastAsia="Times New Roman" w:hAnsi="Times New Roman" w:cs="Times New Roman"/>
                <w:bCs/>
                <w:iCs/>
                <w:spacing w:val="-2"/>
                <w:sz w:val="22"/>
                <w:szCs w:val="22"/>
                <w:lang w:eastAsia="ru-RU"/>
              </w:rPr>
              <w:t>Вид работ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ind w:left="-15" w:firstLine="15"/>
              <w:jc w:val="both"/>
            </w:pPr>
            <w:r w:rsidRPr="0051115E">
              <w:t>Инженерные изыскания</w:t>
            </w:r>
          </w:p>
        </w:tc>
      </w:tr>
      <w:tr w:rsidR="00F66847" w:rsidRPr="0051115E" w:rsidTr="00DD1B84">
        <w:trPr>
          <w:trHeight w:val="984"/>
        </w:trPr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952D90">
            <w:pPr>
              <w:pStyle w:val="Standard"/>
              <w:rPr>
                <w:rFonts w:ascii="Times New Roman" w:hAnsi="Times New Roman" w:cs="Times New Roman"/>
                <w:sz w:val="22"/>
                <w:szCs w:val="22"/>
              </w:rPr>
            </w:pPr>
            <w:r w:rsidRPr="0051115E">
              <w:rPr>
                <w:rFonts w:ascii="Times New Roman" w:hAnsi="Times New Roman" w:cs="Times New Roman"/>
                <w:sz w:val="22"/>
                <w:szCs w:val="22"/>
              </w:rPr>
              <w:t>Данные о местоположении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ind w:left="4"/>
              <w:jc w:val="both"/>
            </w:pPr>
            <w:r w:rsidRPr="0051115E">
              <w:t>Площадь территории инженерных изысканий уточняется Подрядчиком при подготовке схемы границ предполагаемых к использованию земель.</w:t>
            </w:r>
          </w:p>
        </w:tc>
      </w:tr>
      <w:tr w:rsidR="00F66847" w:rsidRPr="0051115E" w:rsidTr="00DD1B84">
        <w:trPr>
          <w:trHeight w:val="1551"/>
        </w:trPr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115E">
              <w:rPr>
                <w:rFonts w:ascii="Times New Roman" w:hAnsi="Times New Roman" w:cs="Times New Roman"/>
                <w:sz w:val="22"/>
                <w:szCs w:val="22"/>
              </w:rPr>
              <w:t>Границы изысканий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DD1B84">
            <w:pPr>
              <w:jc w:val="both"/>
            </w:pPr>
            <w:r w:rsidRPr="0051115E">
              <w:t>Территория указан</w:t>
            </w:r>
            <w:r w:rsidR="00DD1B84">
              <w:t>а в пункте</w:t>
            </w:r>
            <w:r w:rsidRPr="0051115E">
              <w:t xml:space="preserve"> 1.2</w:t>
            </w:r>
            <w:r w:rsidR="00DD1B84">
              <w:t xml:space="preserve"> Технического задания,</w:t>
            </w:r>
            <w:r w:rsidRPr="0051115E">
              <w:t xml:space="preserve"> включая прилегающую территорию, необходимую для получения всех изыскательских данных (сети водоснабжения и водоотведения, </w:t>
            </w:r>
            <w:proofErr w:type="spellStart"/>
            <w:r w:rsidRPr="0051115E">
              <w:t>электрообеспечения</w:t>
            </w:r>
            <w:proofErr w:type="spellEnd"/>
            <w:r w:rsidRPr="0051115E">
              <w:t xml:space="preserve"> и слаботочные сети), необходимых для проектирования.</w:t>
            </w:r>
          </w:p>
        </w:tc>
      </w:tr>
      <w:tr w:rsidR="00F66847" w:rsidRPr="0051115E" w:rsidTr="00DD1B84">
        <w:trPr>
          <w:trHeight w:val="1262"/>
        </w:trPr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115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Исходные материалы для выполнения работ 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widowControl w:val="0"/>
              <w:shd w:val="clear" w:color="auto" w:fill="FFFFFF"/>
              <w:tabs>
                <w:tab w:val="left" w:pos="472"/>
              </w:tabs>
              <w:ind w:firstLine="317"/>
              <w:jc w:val="both"/>
            </w:pPr>
            <w:r w:rsidRPr="0051115E">
              <w:t xml:space="preserve">Сбор иных исходных данных, необходимых для выполнения работ, Подрядчик осуществляет самостоятельно. </w:t>
            </w:r>
          </w:p>
          <w:p w:rsidR="00F66847" w:rsidRPr="0051115E" w:rsidRDefault="00F66847" w:rsidP="00F66847">
            <w:pPr>
              <w:jc w:val="both"/>
            </w:pPr>
            <w:r w:rsidRPr="0051115E">
              <w:t>Ситуационный план с номером кадастрового участка предоставляет Заказчик</w:t>
            </w:r>
            <w:r w:rsidR="00DD1B84">
              <w:t>.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jc w:val="both"/>
            </w:pPr>
            <w:r w:rsidRPr="0051115E">
              <w:t>Цели и задачи инженерных изысканий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autoSpaceDE w:val="0"/>
              <w:autoSpaceDN w:val="0"/>
              <w:adjustRightInd w:val="0"/>
              <w:jc w:val="both"/>
            </w:pPr>
            <w:r w:rsidRPr="0051115E">
              <w:t>Инженерные изыскания должны обеспечивать получение:</w:t>
            </w:r>
          </w:p>
          <w:p w:rsidR="00F66847" w:rsidRPr="0051115E" w:rsidRDefault="00F66847" w:rsidP="006222E8">
            <w:pPr>
              <w:numPr>
                <w:ilvl w:val="0"/>
                <w:numId w:val="1"/>
              </w:numPr>
              <w:tabs>
                <w:tab w:val="left" w:pos="601"/>
              </w:tabs>
              <w:autoSpaceDE w:val="0"/>
              <w:autoSpaceDN w:val="0"/>
              <w:adjustRightInd w:val="0"/>
              <w:ind w:left="0" w:firstLine="459"/>
              <w:jc w:val="both"/>
            </w:pPr>
            <w:r w:rsidRPr="0051115E">
              <w:t>Материалов о природных условиях территории, на которой будут осуществляться строительство, реконструкция объе</w:t>
            </w:r>
            <w:r w:rsidR="006222E8">
              <w:t>ктов капитального строительства</w:t>
            </w:r>
            <w:r w:rsidRPr="0051115E">
              <w:t xml:space="preserve"> и факторах техногенного воздействия на окружающую среду, о прогнозе их изменения;</w:t>
            </w:r>
          </w:p>
          <w:p w:rsidR="00F66847" w:rsidRPr="0051115E" w:rsidRDefault="00F66847" w:rsidP="006222E8">
            <w:pPr>
              <w:numPr>
                <w:ilvl w:val="0"/>
                <w:numId w:val="1"/>
              </w:numPr>
              <w:tabs>
                <w:tab w:val="left" w:pos="601"/>
              </w:tabs>
              <w:autoSpaceDE w:val="0"/>
              <w:autoSpaceDN w:val="0"/>
              <w:adjustRightInd w:val="0"/>
              <w:ind w:left="0" w:firstLine="459"/>
              <w:jc w:val="both"/>
            </w:pPr>
            <w:r w:rsidRPr="0051115E">
              <w:t>Материалов для обоснования размещения сооружений для принятия конструктивных и объемно-планировочных решений, оценки опасных процессов и явлений, разработки схемы (проекта) инженерной защиты и мероприятий по охране окружающей среды, проекта организации строительства или реконструкции объекта;</w:t>
            </w:r>
          </w:p>
          <w:p w:rsidR="00F66847" w:rsidRPr="0051115E" w:rsidRDefault="00F66847" w:rsidP="006222E8">
            <w:pPr>
              <w:numPr>
                <w:ilvl w:val="0"/>
                <w:numId w:val="1"/>
              </w:numPr>
              <w:tabs>
                <w:tab w:val="left" w:pos="601"/>
              </w:tabs>
              <w:autoSpaceDE w:val="0"/>
              <w:autoSpaceDN w:val="0"/>
              <w:adjustRightInd w:val="0"/>
              <w:ind w:left="0" w:firstLine="459"/>
              <w:jc w:val="both"/>
            </w:pPr>
            <w:r w:rsidRPr="0051115E">
              <w:lastRenderedPageBreak/>
              <w:t>Исходных данных для расчетов оснований, фундаментов и конструкций, а также для проектирования сооружений инженерной защиты, выполнения земляных работ и принятия окончательных проектных решений при подготовке, экспертизе, согласовании и утверждении проектной документации.</w:t>
            </w:r>
          </w:p>
          <w:p w:rsidR="00F66847" w:rsidRPr="0051115E" w:rsidRDefault="00F66847" w:rsidP="006222E8">
            <w:pPr>
              <w:tabs>
                <w:tab w:val="left" w:pos="601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51115E">
              <w:t xml:space="preserve">Результаты инженерных изысканий должны быть достоверными и достаточными для обоснования конструктивных и объемно-планировочных решений, установления проектных значений и характеристик зданий или сооружений, мероприятий инженерной защиты и мероприятий по охране окружающей среды. </w:t>
            </w:r>
          </w:p>
          <w:p w:rsidR="00F66847" w:rsidRPr="0051115E" w:rsidRDefault="00F66847" w:rsidP="006222E8">
            <w:pPr>
              <w:tabs>
                <w:tab w:val="left" w:pos="601"/>
              </w:tabs>
              <w:autoSpaceDE w:val="0"/>
              <w:autoSpaceDN w:val="0"/>
              <w:adjustRightInd w:val="0"/>
              <w:ind w:firstLine="459"/>
              <w:jc w:val="both"/>
            </w:pPr>
            <w:r w:rsidRPr="0051115E">
              <w:t>Выполнить в соответствии с СП 47.13330.2016. «Свод правил. Инженерные изыскания для строительства» в объемах</w:t>
            </w:r>
            <w:r w:rsidR="006222E8">
              <w:t>,</w:t>
            </w:r>
            <w:r w:rsidRPr="0051115E">
              <w:t xml:space="preserve"> необходимых и достаточных для получения положительного заключения экспертизы и получения разрешения на строительство, в т.ч.:</w:t>
            </w:r>
          </w:p>
          <w:p w:rsidR="00F66847" w:rsidRPr="0051115E" w:rsidRDefault="00F66847" w:rsidP="006222E8">
            <w:pPr>
              <w:numPr>
                <w:ilvl w:val="0"/>
                <w:numId w:val="2"/>
              </w:numPr>
              <w:tabs>
                <w:tab w:val="left" w:pos="601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b/>
              </w:rPr>
            </w:pPr>
            <w:r w:rsidRPr="0051115E">
              <w:rPr>
                <w:b/>
              </w:rPr>
              <w:t>инженерно-геодезические изыскания</w:t>
            </w:r>
          </w:p>
          <w:p w:rsidR="00F66847" w:rsidRPr="0051115E" w:rsidRDefault="00F66847" w:rsidP="006222E8">
            <w:pPr>
              <w:numPr>
                <w:ilvl w:val="0"/>
                <w:numId w:val="2"/>
              </w:numPr>
              <w:tabs>
                <w:tab w:val="left" w:pos="601"/>
              </w:tabs>
              <w:autoSpaceDE w:val="0"/>
              <w:autoSpaceDN w:val="0"/>
              <w:adjustRightInd w:val="0"/>
              <w:ind w:left="0" w:firstLine="459"/>
              <w:jc w:val="both"/>
              <w:rPr>
                <w:b/>
              </w:rPr>
            </w:pPr>
            <w:r w:rsidRPr="0051115E">
              <w:rPr>
                <w:b/>
              </w:rPr>
              <w:t>инженерно-геологические изыскания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1115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Состав и объем работ по инженерным изысканиям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widowControl w:val="0"/>
              <w:shd w:val="clear" w:color="auto" w:fill="FFFFFF"/>
              <w:tabs>
                <w:tab w:val="left" w:pos="472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51115E">
              <w:t>В соответствии с требованиями статьи 47 Градостроительного кодекса Российской Федерации результаты инженерных изысканий представляют собой документ о выполненных инженерных изысканиях, содержащий материалы в текстовой форме и в виде карт (схем) и отражающий сведения о задачах инженерных изысканий, о местоположении территории, на которой планируется осуществлять строительство, о видах, об объеме, о способах и о сроках проведения работ по выполнению инженерных изысканий в соответствии с программой инженерных изысканий, о качестве выполненных инженерных изысканий, о результатах комплексного изучения природных и техногенных условий указанной территории, в том числе о результатах изучения, оценки и прогноза возможных изменений природных и техногенных условий указанной территории применительно к объекту капитального строительства при осуществлении строительства, реконструкции такого объекта и после их завершения и о результатах оценки влияния строительства, реконструкции такого объекта на другие объекты капитального строительства.</w:t>
            </w:r>
          </w:p>
          <w:p w:rsidR="00F66847" w:rsidRPr="0051115E" w:rsidRDefault="00F66847" w:rsidP="00E1231C">
            <w:pPr>
              <w:pStyle w:val="20"/>
              <w:shd w:val="clear" w:color="auto" w:fill="auto"/>
              <w:spacing w:before="0" w:line="240" w:lineRule="auto"/>
              <w:ind w:left="317" w:firstLine="0"/>
              <w:rPr>
                <w:i/>
                <w:iCs/>
              </w:rPr>
            </w:pPr>
            <w:r w:rsidRPr="0051115E">
              <w:rPr>
                <w:i/>
                <w:iCs/>
              </w:rPr>
              <w:t>Состав работ: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tabs>
                <w:tab w:val="left" w:pos="884"/>
              </w:tabs>
              <w:autoSpaceDE w:val="0"/>
              <w:autoSpaceDN w:val="0"/>
              <w:adjustRightInd w:val="0"/>
              <w:ind w:firstLine="317"/>
              <w:jc w:val="both"/>
              <w:rPr>
                <w:i/>
                <w:iCs/>
              </w:rPr>
            </w:pPr>
            <w:r w:rsidRPr="0051115E">
              <w:rPr>
                <w:i/>
                <w:iCs/>
              </w:rPr>
              <w:t>1. Подготовительные работы.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tabs>
                <w:tab w:val="left" w:pos="884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51115E">
              <w:t xml:space="preserve">1.1. Подготовка схемы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координат, применяемой при ведении государственного кадастра недвижимости. 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tabs>
                <w:tab w:val="left" w:pos="884"/>
              </w:tabs>
              <w:autoSpaceDE w:val="0"/>
              <w:autoSpaceDN w:val="0"/>
              <w:adjustRightInd w:val="0"/>
              <w:ind w:firstLine="317"/>
              <w:jc w:val="both"/>
            </w:pPr>
            <w:r w:rsidRPr="0051115E">
              <w:t>1.2. Регистрация проведения инженерных изысканий.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tabs>
                <w:tab w:val="left" w:pos="884"/>
              </w:tabs>
              <w:autoSpaceDE w:val="0"/>
              <w:autoSpaceDN w:val="0"/>
              <w:adjustRightInd w:val="0"/>
              <w:ind w:firstLine="317"/>
              <w:jc w:val="both"/>
            </w:pPr>
          </w:p>
          <w:p w:rsidR="00F66847" w:rsidRPr="0051115E" w:rsidRDefault="00F66847" w:rsidP="00F66847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95" w:firstLine="142"/>
              <w:rPr>
                <w:i/>
                <w:iCs/>
              </w:rPr>
            </w:pPr>
            <w:r w:rsidRPr="0051115E">
              <w:rPr>
                <w:i/>
                <w:iCs/>
              </w:rPr>
              <w:t>Инженерно-геодезические изыскания</w:t>
            </w:r>
          </w:p>
          <w:p w:rsidR="00F66847" w:rsidRPr="0051115E" w:rsidRDefault="00F66847" w:rsidP="002938ED">
            <w:pPr>
              <w:pStyle w:val="20"/>
              <w:shd w:val="clear" w:color="auto" w:fill="auto"/>
              <w:spacing w:before="0" w:line="240" w:lineRule="auto"/>
              <w:ind w:firstLine="317"/>
            </w:pPr>
            <w:r w:rsidRPr="0051115E">
              <w:lastRenderedPageBreak/>
              <w:t>Инженерно-геодезические изыскания включают топографическую съемку участка благоустройства.</w:t>
            </w:r>
          </w:p>
          <w:p w:rsidR="00F66847" w:rsidRPr="0051115E" w:rsidRDefault="00F66847" w:rsidP="002938ED">
            <w:pPr>
              <w:pStyle w:val="20"/>
              <w:shd w:val="clear" w:color="auto" w:fill="auto"/>
              <w:spacing w:before="0" w:line="240" w:lineRule="auto"/>
              <w:ind w:firstLine="317"/>
            </w:pPr>
            <w:r w:rsidRPr="0051115E">
              <w:t xml:space="preserve">Выполнить </w:t>
            </w:r>
            <w:proofErr w:type="spellStart"/>
            <w:r w:rsidRPr="0051115E">
              <w:t>топосъёмку</w:t>
            </w:r>
            <w:proofErr w:type="spellEnd"/>
            <w:r w:rsidRPr="0051115E">
              <w:t xml:space="preserve"> в границах земельного участка с нанесением всех существующих надземных и подземных коммуникаций, зданий и сооружений, а также зданий, граничащих с участком благоустройства.</w:t>
            </w:r>
          </w:p>
          <w:p w:rsidR="00F66847" w:rsidRPr="0051115E" w:rsidRDefault="00F66847" w:rsidP="002938ED">
            <w:pPr>
              <w:pStyle w:val="20"/>
              <w:shd w:val="clear" w:color="auto" w:fill="auto"/>
              <w:spacing w:before="0" w:line="240" w:lineRule="auto"/>
              <w:ind w:firstLine="317"/>
            </w:pPr>
            <w:r w:rsidRPr="0051115E">
              <w:t>Масштаб съемки 1:500 с горизонталями через 0,5м</w:t>
            </w:r>
          </w:p>
          <w:p w:rsidR="00F66847" w:rsidRPr="0051115E" w:rsidRDefault="00F66847" w:rsidP="002938ED">
            <w:pPr>
              <w:ind w:firstLine="317"/>
              <w:jc w:val="both"/>
            </w:pPr>
            <w:r w:rsidRPr="0051115E">
              <w:rPr>
                <w:lang w:eastAsia="lv-LV"/>
              </w:rPr>
              <w:t>С</w:t>
            </w:r>
            <w:r w:rsidRPr="0051115E">
              <w:rPr>
                <w:lang w:val="lv-LV" w:eastAsia="lv-LV"/>
              </w:rPr>
              <w:t>остав</w:t>
            </w:r>
            <w:proofErr w:type="spellStart"/>
            <w:r w:rsidRPr="0051115E">
              <w:rPr>
                <w:lang w:eastAsia="lv-LV"/>
              </w:rPr>
              <w:t>ление</w:t>
            </w:r>
            <w:proofErr w:type="spellEnd"/>
            <w:r w:rsidRPr="0051115E">
              <w:rPr>
                <w:lang w:val="lv-LV" w:eastAsia="lv-LV"/>
              </w:rPr>
              <w:t xml:space="preserve"> техническ</w:t>
            </w:r>
            <w:r w:rsidRPr="0051115E">
              <w:rPr>
                <w:lang w:eastAsia="lv-LV"/>
              </w:rPr>
              <w:t>ого</w:t>
            </w:r>
            <w:r w:rsidRPr="0051115E">
              <w:rPr>
                <w:lang w:val="lv-LV" w:eastAsia="lv-LV"/>
              </w:rPr>
              <w:t xml:space="preserve"> отчет</w:t>
            </w:r>
            <w:r w:rsidRPr="0051115E">
              <w:rPr>
                <w:lang w:eastAsia="lv-LV"/>
              </w:rPr>
              <w:t>а</w:t>
            </w:r>
            <w:r w:rsidRPr="0051115E">
              <w:rPr>
                <w:lang w:val="lv-LV" w:eastAsia="lv-LV"/>
              </w:rPr>
              <w:t xml:space="preserve"> по инженерно-геодезическим изысканиям</w:t>
            </w:r>
            <w:r w:rsidRPr="0051115E">
              <w:t xml:space="preserve"> в соответствии с требованиями «СП 47.13330.2016. Свод правил. Инженерные изыскания для ст</w:t>
            </w:r>
            <w:r w:rsidR="008A2DDA">
              <w:t>роительства. Основные положения»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left="292" w:firstLine="0"/>
            </w:pPr>
          </w:p>
          <w:p w:rsidR="00F66847" w:rsidRPr="0051115E" w:rsidRDefault="00F66847" w:rsidP="00F66847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0" w:firstLine="292"/>
              <w:rPr>
                <w:i/>
                <w:iCs/>
              </w:rPr>
            </w:pPr>
            <w:r w:rsidRPr="0051115E">
              <w:rPr>
                <w:i/>
                <w:iCs/>
              </w:rPr>
              <w:t>Инженерно-геологические изыскания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Инженерно-геологические изыскания должны обеспечить решение следующих вопросов: определить расчетные данные по грунтам, выполнить графики статического зондирования.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Инженерно-геологические изыскания включают полевые, лабораторные и камеральные работы.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В состав полевых работ входит: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Буровые работы (расстояние между скважинами и глубина скважины определяется проектной организацией).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Лабораторные работы.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Определение физических свойств грунтов.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Определение гранулометрического состава песчаных грунтов.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Определение коррозионной активности грунтов по отношению к стали и бетону.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Химический анализ воды.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Камеральные работы.</w:t>
            </w:r>
          </w:p>
          <w:p w:rsidR="00F66847" w:rsidRPr="0051115E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</w:pPr>
            <w:r w:rsidRPr="0051115E">
              <w:t>Составление пояснительной записки с графическими и текстовыми приложениями.</w:t>
            </w:r>
          </w:p>
          <w:p w:rsidR="00F66847" w:rsidRPr="0051115E" w:rsidRDefault="00F66847" w:rsidP="00F66847">
            <w:pPr>
              <w:ind w:right="30" w:firstLine="292"/>
              <w:jc w:val="both"/>
              <w:textAlignment w:val="baseline"/>
            </w:pPr>
            <w:r w:rsidRPr="0051115E">
              <w:t>Составление технического отчета по инженерно-геологическим изысканиям в соответствии с требованиями «СП 47.13330.2016. Свод правил. Инженерные изыскания для ст</w:t>
            </w:r>
            <w:r w:rsidR="008A2DDA">
              <w:t>роительства. Основные положения</w:t>
            </w:r>
            <w:r w:rsidRPr="0051115E">
              <w:t>».</w:t>
            </w:r>
          </w:p>
          <w:p w:rsidR="00F66847" w:rsidRPr="00591715" w:rsidRDefault="00F66847" w:rsidP="00F66847">
            <w:pPr>
              <w:pStyle w:val="20"/>
              <w:shd w:val="clear" w:color="auto" w:fill="auto"/>
              <w:spacing w:before="0" w:line="240" w:lineRule="auto"/>
              <w:ind w:firstLine="292"/>
              <w:rPr>
                <w:sz w:val="24"/>
                <w:szCs w:val="24"/>
              </w:rPr>
            </w:pPr>
          </w:p>
          <w:p w:rsidR="00F66847" w:rsidRPr="00637FE3" w:rsidRDefault="00F66847" w:rsidP="00637FE3">
            <w:pPr>
              <w:pStyle w:val="20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-130" w:firstLine="422"/>
            </w:pPr>
            <w:r w:rsidRPr="00591715">
              <w:rPr>
                <w:sz w:val="24"/>
                <w:szCs w:val="24"/>
              </w:rPr>
              <w:t>По окончании инженерных изысканий приведение территории в состояние, пригодное для использования по целевому назначению.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pStyle w:val="Standard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51115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Результат выполненных работ, передаваемый Заказчику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tabs>
                <w:tab w:val="left" w:pos="4524"/>
              </w:tabs>
              <w:ind w:firstLine="340"/>
              <w:jc w:val="both"/>
            </w:pPr>
            <w:r w:rsidRPr="0051115E">
              <w:t>1. По инженерно-геодезическим изысканиям:</w:t>
            </w:r>
          </w:p>
          <w:p w:rsidR="00F66847" w:rsidRPr="0051115E" w:rsidRDefault="00F66847" w:rsidP="00F66847">
            <w:pPr>
              <w:tabs>
                <w:tab w:val="left" w:pos="4524"/>
              </w:tabs>
              <w:ind w:firstLine="340"/>
              <w:jc w:val="both"/>
            </w:pPr>
            <w:r w:rsidRPr="0051115E">
              <w:t>1.1. Технический отчет по инженерно-геодезическим изысканиям с графическими приложениями:</w:t>
            </w:r>
          </w:p>
          <w:p w:rsidR="00F66847" w:rsidRPr="0051115E" w:rsidRDefault="00F66847" w:rsidP="00F66847">
            <w:pPr>
              <w:tabs>
                <w:tab w:val="left" w:pos="4524"/>
              </w:tabs>
              <w:ind w:firstLine="340"/>
              <w:jc w:val="both"/>
            </w:pPr>
            <w:r w:rsidRPr="0051115E">
              <w:t xml:space="preserve">- на бумажном носителе в сброшюрованном виде в 3 экз.; </w:t>
            </w:r>
          </w:p>
          <w:p w:rsidR="00F66847" w:rsidRPr="0051115E" w:rsidRDefault="00F66847" w:rsidP="00F66847">
            <w:pPr>
              <w:tabs>
                <w:tab w:val="left" w:pos="4524"/>
              </w:tabs>
              <w:ind w:firstLine="340"/>
              <w:jc w:val="both"/>
            </w:pPr>
            <w:r w:rsidRPr="0051115E">
              <w:t xml:space="preserve">- на электронном носителе (графические материалы в форматах DWG или DXF, </w:t>
            </w:r>
            <w:r w:rsidRPr="0051115E">
              <w:rPr>
                <w:lang w:val="en-US"/>
              </w:rPr>
              <w:t>PDF</w:t>
            </w:r>
            <w:r w:rsidRPr="0051115E">
              <w:t xml:space="preserve">; текстовые материалы в форматах, совместимых с </w:t>
            </w:r>
            <w:proofErr w:type="spellStart"/>
            <w:r w:rsidRPr="0051115E">
              <w:t>MicrosoftOffice</w:t>
            </w:r>
            <w:proofErr w:type="spellEnd"/>
            <w:r w:rsidRPr="0051115E">
              <w:t>) в 1 экз.</w:t>
            </w:r>
          </w:p>
          <w:p w:rsidR="00F66847" w:rsidRPr="0051115E" w:rsidRDefault="00F66847" w:rsidP="00F66847">
            <w:pPr>
              <w:tabs>
                <w:tab w:val="left" w:pos="4524"/>
              </w:tabs>
              <w:ind w:firstLine="340"/>
              <w:jc w:val="both"/>
            </w:pPr>
            <w:r w:rsidRPr="0051115E">
              <w:t>2. По инженерно-геологическим изысканиям:</w:t>
            </w:r>
          </w:p>
          <w:p w:rsidR="00F66847" w:rsidRPr="0051115E" w:rsidRDefault="00F66847" w:rsidP="00F66847">
            <w:pPr>
              <w:tabs>
                <w:tab w:val="left" w:pos="4524"/>
              </w:tabs>
              <w:ind w:firstLine="340"/>
              <w:jc w:val="both"/>
            </w:pPr>
            <w:r w:rsidRPr="0051115E">
              <w:t xml:space="preserve">2.1. Технический отчет по инженерно-геологическим изысканиям </w:t>
            </w:r>
            <w:r w:rsidRPr="0051115E">
              <w:rPr>
                <w:lang w:val="en-US"/>
              </w:rPr>
              <w:t>c</w:t>
            </w:r>
            <w:r w:rsidRPr="0051115E">
              <w:t xml:space="preserve"> графическими приложениями:</w:t>
            </w:r>
          </w:p>
          <w:p w:rsidR="00F66847" w:rsidRPr="0051115E" w:rsidRDefault="00F66847" w:rsidP="00F66847">
            <w:pPr>
              <w:tabs>
                <w:tab w:val="left" w:pos="4524"/>
              </w:tabs>
              <w:ind w:firstLine="340"/>
              <w:jc w:val="both"/>
            </w:pPr>
            <w:r w:rsidRPr="0051115E">
              <w:t xml:space="preserve">- на бумажном носителе в сброшюрованном виде в 3 экз.; </w:t>
            </w:r>
          </w:p>
          <w:p w:rsidR="00F66847" w:rsidRPr="0051115E" w:rsidRDefault="00F66847" w:rsidP="00F66847">
            <w:pPr>
              <w:tabs>
                <w:tab w:val="left" w:pos="4524"/>
              </w:tabs>
              <w:ind w:firstLine="340"/>
              <w:jc w:val="both"/>
            </w:pPr>
            <w:r w:rsidRPr="0051115E">
              <w:lastRenderedPageBreak/>
              <w:t xml:space="preserve">- на электронном носителе (графические материалы в форматах DWG или DXF, PDF; текстовые материалы в форматах, совместимых с </w:t>
            </w:r>
            <w:proofErr w:type="spellStart"/>
            <w:r w:rsidRPr="0051115E">
              <w:t>MicrosoftOffice</w:t>
            </w:r>
            <w:proofErr w:type="spellEnd"/>
            <w:r w:rsidRPr="0051115E">
              <w:t>) в 1 экз.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jc w:val="both"/>
            </w:pPr>
            <w:r w:rsidRPr="0051115E">
              <w:t>Перечень нормативных документов, в соответствии с требованиями которых необходимо выполнить инженерные изыскания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1.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>Федеральный закон от 29.12.2004 № 190-ФЗ «Градостроительный кодекс Российской Федерации»;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2.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>Федеральный закон от 25.10.2001 № 136-ФЗ «Земельный кодекс Российской Федерации»;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3. Постановление Правительства РФ от 27.11.2014 № 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4. Постановление Правительства РФ от 19.01.2006 № 20 «Об инженерных изысканиях для подготовки проектной документации, строительства, реконструкции объектов капитального строительства»;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5. Приказ Минрегиона РФ от 30.12.2009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6.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>СП 11-104-97. Инженерно-геодезические изыскания для строительства. Часть III. Инженерно-гидрографические работы при инженерных изысканиях для строительства (одобрен Письмом Госстроя РФ от 17.02.2004 N 9-20/112);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7.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>СП 47.13330.2016. Свод правил. Инженерные изыскания для строительства. Основные положения.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8.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>СП 11-105-97. Инженерно-геологические изыскания для строительства. Часть I. Общие правила производства работ (одобрен Письмом Госстроя РФ от 14.10.1997 № 9-4/116);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9.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>СП 11-102-97. Инженерно-экологические изыскания для строительства (одобрен Письмом Госстроя РФ от 10.07.1997 № 9-1-1/69);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1</w:t>
            </w:r>
            <w:r w:rsidR="008A2DDA">
              <w:rPr>
                <w:rFonts w:eastAsia="Andale Sans UI"/>
                <w:kern w:val="3"/>
                <w:lang w:eastAsia="ja-JP" w:bidi="fa-IR"/>
              </w:rPr>
              <w:t>0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>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 xml:space="preserve"> СП 22.13330.2016. Свод правил. Основания зданий и сооружений. Актуализированная редакция СНиП 2.02.01-83* (утвержден Приказом Минстроя России от 16.12.2016 № 970/пр);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1</w:t>
            </w:r>
            <w:r w:rsidR="008A2DDA">
              <w:rPr>
                <w:rFonts w:eastAsia="Andale Sans UI"/>
                <w:kern w:val="3"/>
                <w:lang w:eastAsia="ja-JP" w:bidi="fa-IR"/>
              </w:rPr>
              <w:t>1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>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 xml:space="preserve"> ГОСТ 21.302-2013. Межгосударственный стандарт. Система проектной документации для строительства. Условные графические обозначения в документации по инженерно-геологическим изысканиям (введен в действие Приказом Росстандарта от 30.12.2013 № 2385-ст);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1</w:t>
            </w:r>
            <w:r w:rsidR="008A2DDA">
              <w:rPr>
                <w:rFonts w:eastAsia="Andale Sans UI"/>
                <w:kern w:val="3"/>
                <w:lang w:eastAsia="ja-JP" w:bidi="fa-IR"/>
              </w:rPr>
              <w:t>2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>.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ab/>
              <w:t xml:space="preserve"> ГОСТ 12071-2014. Межгосударственный стандарт. Грунты. Отбор, упаковка, транспортирование и хранение образцов (введен в действие Приказом Росстандарта от 12.12.2014 № 2023-ст);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>1</w:t>
            </w:r>
            <w:r w:rsidR="008A2DDA">
              <w:rPr>
                <w:rFonts w:eastAsia="Andale Sans UI"/>
                <w:kern w:val="3"/>
                <w:lang w:eastAsia="ja-JP" w:bidi="fa-IR"/>
              </w:rPr>
              <w:t>3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 xml:space="preserve">. Постановление администрации города Мурманска </w:t>
            </w:r>
            <w:r w:rsidRPr="0051115E">
              <w:rPr>
                <w:rFonts w:eastAsia="Andale Sans UI"/>
                <w:kern w:val="3"/>
                <w:lang w:eastAsia="ja-JP" w:bidi="fa-IR"/>
              </w:rPr>
              <w:lastRenderedPageBreak/>
              <w:t>от 28.05.2012 № 1122 «О предоставлении сведений по инженерным изысканиям для формирования информационной системы обеспечения градостроительной деятельности на территории муниципального образования город Мурманск»;</w:t>
            </w:r>
          </w:p>
          <w:p w:rsidR="00F66847" w:rsidRDefault="00F66847" w:rsidP="008A2DDA">
            <w:pPr>
              <w:pStyle w:val="20"/>
              <w:shd w:val="clear" w:color="auto" w:fill="auto"/>
              <w:tabs>
                <w:tab w:val="left" w:pos="459"/>
              </w:tabs>
              <w:spacing w:before="0" w:line="240" w:lineRule="auto"/>
              <w:ind w:left="2" w:firstLine="0"/>
              <w:rPr>
                <w:rFonts w:eastAsia="Andale Sans UI"/>
                <w:kern w:val="3"/>
                <w:lang w:eastAsia="ja-JP" w:bidi="fa-IR"/>
              </w:rPr>
            </w:pPr>
            <w:r w:rsidRPr="0051115E">
              <w:rPr>
                <w:rFonts w:eastAsia="Andale Sans UI"/>
                <w:kern w:val="3"/>
                <w:lang w:eastAsia="ja-JP" w:bidi="fa-IR"/>
              </w:rPr>
              <w:t xml:space="preserve">    1</w:t>
            </w:r>
            <w:r w:rsidR="008A2DDA">
              <w:rPr>
                <w:rFonts w:eastAsia="Andale Sans UI"/>
                <w:kern w:val="3"/>
                <w:lang w:eastAsia="ja-JP" w:bidi="fa-IR"/>
              </w:rPr>
              <w:t>4</w:t>
            </w:r>
            <w:r w:rsidRPr="0051115E">
              <w:rPr>
                <w:rFonts w:eastAsia="Andale Sans UI"/>
                <w:kern w:val="3"/>
                <w:lang w:eastAsia="ja-JP" w:bidi="fa-IR"/>
              </w:rPr>
              <w:t>. Постановление администрации города Мурманска от 28.06.2012 № 1421 «Об утверждении административного регламента предоставления муниципальной услуги «Предоставление сведений информационной системы обеспечения градостроительной деятельности на территории муниципального образования город Мурманск»</w:t>
            </w:r>
            <w:r w:rsidR="008A2DDA">
              <w:rPr>
                <w:rFonts w:eastAsia="Andale Sans UI"/>
                <w:kern w:val="3"/>
                <w:lang w:eastAsia="ja-JP" w:bidi="fa-IR"/>
              </w:rPr>
              <w:t>;</w:t>
            </w:r>
          </w:p>
          <w:p w:rsidR="008A2DDA" w:rsidRPr="0051115E" w:rsidRDefault="008A2DDA" w:rsidP="008A2DDA">
            <w:pPr>
              <w:pStyle w:val="20"/>
              <w:shd w:val="clear" w:color="auto" w:fill="auto"/>
              <w:tabs>
                <w:tab w:val="left" w:pos="459"/>
              </w:tabs>
              <w:spacing w:before="0" w:line="240" w:lineRule="auto"/>
              <w:ind w:left="2" w:firstLine="0"/>
              <w:rPr>
                <w:rFonts w:eastAsia="SimSun"/>
                <w:kern w:val="3"/>
                <w:lang w:eastAsia="zh-CN" w:bidi="hi-IN"/>
              </w:rPr>
            </w:pPr>
            <w:r>
              <w:rPr>
                <w:rFonts w:eastAsia="Andale Sans UI"/>
                <w:kern w:val="3"/>
                <w:lang w:eastAsia="ja-JP" w:bidi="fa-IR"/>
              </w:rPr>
              <w:t xml:space="preserve">   15. Постановление администрации города Мурманска от 28.05.2012 № 1122 «О предоставлении сведений по инженерным изысканиям для формирования информационный системы обеспечения градостроительной деятельности на территории муниципального образования город Мурманск»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jc w:val="both"/>
            </w:pPr>
            <w:r w:rsidRPr="0051115E">
              <w:rPr>
                <w:spacing w:val="-10"/>
              </w:rPr>
              <w:t>Дополнительные</w:t>
            </w:r>
            <w:r w:rsidRPr="0051115E">
              <w:t xml:space="preserve"> требования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t>В случае выявления в процессе инженерных изысканий сложных природных, техногенных условий, которые могут оказать неблагоприятное влияние на строительство и эксплуатацию сооружений, Подрядчик должен поставить Заказчика в известность о необходимости дополнительного изучения территории.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jc w:val="both"/>
            </w:pPr>
            <w:r w:rsidRPr="0051115E">
              <w:t>Гарантийные обязательства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F66847">
            <w:pPr>
              <w:ind w:firstLine="259"/>
              <w:contextualSpacing/>
              <w:jc w:val="both"/>
            </w:pPr>
            <w:r w:rsidRPr="0051115E">
              <w:t xml:space="preserve">Подрядчик гарантирует качество выполнения работ в полном объеме в соответствии с требованиями, изложенными в техническом задании и действующим законодательством РФ в сроки, определенные условиями </w:t>
            </w:r>
            <w:r w:rsidR="00756F22">
              <w:t>договора</w:t>
            </w:r>
            <w:r w:rsidRPr="0051115E">
              <w:t>.</w:t>
            </w:r>
          </w:p>
          <w:p w:rsidR="00F66847" w:rsidRPr="0051115E" w:rsidRDefault="00F66847" w:rsidP="00F66847">
            <w:pPr>
              <w:ind w:firstLine="259"/>
              <w:contextualSpacing/>
              <w:jc w:val="both"/>
            </w:pPr>
            <w:r w:rsidRPr="0051115E">
              <w:t xml:space="preserve">Гарантийный срок на выполняемые по </w:t>
            </w:r>
            <w:r w:rsidR="00756F22">
              <w:t>договору</w:t>
            </w:r>
            <w:r w:rsidRPr="0051115E">
              <w:t xml:space="preserve"> работы составляет 12 (двенадцать) месяцев с даты подписания Сторонами акта </w:t>
            </w:r>
            <w:r w:rsidR="00E1231C">
              <w:t>сдачи-приемки</w:t>
            </w:r>
            <w:r w:rsidRPr="0051115E">
              <w:t xml:space="preserve"> выполненных работ.</w:t>
            </w:r>
          </w:p>
          <w:p w:rsidR="00F66847" w:rsidRPr="0051115E" w:rsidRDefault="00F66847" w:rsidP="00F66847">
            <w:pPr>
              <w:widowControl w:val="0"/>
              <w:shd w:val="clear" w:color="auto" w:fill="FFFFFF"/>
              <w:ind w:firstLine="401"/>
              <w:jc w:val="both"/>
              <w:outlineLvl w:val="1"/>
              <w:rPr>
                <w:rFonts w:eastAsia="Andale Sans UI"/>
                <w:kern w:val="3"/>
                <w:lang w:eastAsia="ja-JP" w:bidi="fa-IR"/>
              </w:rPr>
            </w:pPr>
            <w:r w:rsidRPr="0051115E">
              <w:t>Если в период гарантийного срока обнаружатся недостатки (дефекты) результата работ, то Подрядчик обязан устранить их за свой счет в 10 (десятидневный) срок. Гарантийный срок в этом случае соответственно продлевается на период устранения недостатков (дефектов).</w:t>
            </w:r>
          </w:p>
        </w:tc>
      </w:tr>
      <w:tr w:rsidR="00F66847" w:rsidRPr="0051115E" w:rsidTr="00C22AC0">
        <w:tc>
          <w:tcPr>
            <w:tcW w:w="704" w:type="dxa"/>
            <w:vAlign w:val="center"/>
          </w:tcPr>
          <w:p w:rsidR="00F66847" w:rsidRPr="0051115E" w:rsidRDefault="00F66847" w:rsidP="00C22AC0">
            <w:pPr>
              <w:pStyle w:val="a4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center"/>
          </w:tcPr>
          <w:p w:rsidR="00F66847" w:rsidRPr="0051115E" w:rsidRDefault="00F66847" w:rsidP="00F66847">
            <w:pPr>
              <w:jc w:val="both"/>
            </w:pPr>
            <w:r w:rsidRPr="0051115E">
              <w:t>Сроки выполнения работ</w:t>
            </w:r>
          </w:p>
        </w:tc>
        <w:tc>
          <w:tcPr>
            <w:tcW w:w="6095" w:type="dxa"/>
            <w:vAlign w:val="center"/>
          </w:tcPr>
          <w:p w:rsidR="00F66847" w:rsidRPr="0051115E" w:rsidRDefault="00F66847" w:rsidP="00B5608D">
            <w:pPr>
              <w:jc w:val="both"/>
            </w:pPr>
            <w:r w:rsidRPr="0051115E">
              <w:t xml:space="preserve">До </w:t>
            </w:r>
            <w:r w:rsidR="00B5608D" w:rsidRPr="0051115E">
              <w:t>1</w:t>
            </w:r>
            <w:r w:rsidR="00591715">
              <w:t xml:space="preserve"> </w:t>
            </w:r>
            <w:bookmarkStart w:id="0" w:name="_GoBack"/>
            <w:bookmarkEnd w:id="0"/>
            <w:r w:rsidR="00B5608D" w:rsidRPr="0051115E">
              <w:t>июня</w:t>
            </w:r>
            <w:r w:rsidRPr="0051115E">
              <w:t xml:space="preserve"> 2022 года</w:t>
            </w:r>
          </w:p>
        </w:tc>
      </w:tr>
    </w:tbl>
    <w:p w:rsidR="00EA5F19" w:rsidRPr="0051115E" w:rsidRDefault="00EA5F19" w:rsidP="00F66847">
      <w:pPr>
        <w:jc w:val="both"/>
        <w:rPr>
          <w:sz w:val="22"/>
          <w:szCs w:val="22"/>
        </w:rPr>
      </w:pPr>
    </w:p>
    <w:sectPr w:rsidR="00EA5F19" w:rsidRPr="0051115E" w:rsidSect="00207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7089F" w16cex:dateUtc="2022-04-05T15:27:00Z"/>
  <w16cex:commentExtensible w16cex:durableId="25F708BF" w16cex:dateUtc="2022-04-05T15:28:00Z"/>
  <w16cex:commentExtensible w16cex:durableId="25F708F6" w16cex:dateUtc="2022-04-05T15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98E431" w16cid:durableId="25F7089F"/>
  <w16cid:commentId w16cid:paraId="28906770" w16cid:durableId="25F708BF"/>
  <w16cid:commentId w16cid:paraId="719EDECE" w16cid:durableId="25F708F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37D1"/>
    <w:multiLevelType w:val="hybridMultilevel"/>
    <w:tmpl w:val="D51E73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73893"/>
    <w:multiLevelType w:val="hybridMultilevel"/>
    <w:tmpl w:val="3B84C51E"/>
    <w:lvl w:ilvl="0" w:tplc="0BBEB7A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23A15"/>
    <w:multiLevelType w:val="hybridMultilevel"/>
    <w:tmpl w:val="D29E9E26"/>
    <w:lvl w:ilvl="0" w:tplc="73947234">
      <w:start w:val="1"/>
      <w:numFmt w:val="decimal"/>
      <w:suff w:val="space"/>
      <w:lvlText w:val="1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6900E5"/>
    <w:multiLevelType w:val="hybridMultilevel"/>
    <w:tmpl w:val="E27061FE"/>
    <w:lvl w:ilvl="0" w:tplc="C0A8A25A">
      <w:start w:val="2"/>
      <w:numFmt w:val="decimal"/>
      <w:lvlText w:val="%1."/>
      <w:lvlJc w:val="left"/>
      <w:pPr>
        <w:ind w:left="65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372" w:hanging="360"/>
      </w:pPr>
    </w:lvl>
    <w:lvl w:ilvl="2" w:tplc="0419001B" w:tentative="1">
      <w:start w:val="1"/>
      <w:numFmt w:val="lowerRoman"/>
      <w:lvlText w:val="%3."/>
      <w:lvlJc w:val="right"/>
      <w:pPr>
        <w:ind w:left="2092" w:hanging="180"/>
      </w:pPr>
    </w:lvl>
    <w:lvl w:ilvl="3" w:tplc="0419000F" w:tentative="1">
      <w:start w:val="1"/>
      <w:numFmt w:val="decimal"/>
      <w:lvlText w:val="%4."/>
      <w:lvlJc w:val="left"/>
      <w:pPr>
        <w:ind w:left="2812" w:hanging="360"/>
      </w:pPr>
    </w:lvl>
    <w:lvl w:ilvl="4" w:tplc="04190019" w:tentative="1">
      <w:start w:val="1"/>
      <w:numFmt w:val="lowerLetter"/>
      <w:lvlText w:val="%5."/>
      <w:lvlJc w:val="left"/>
      <w:pPr>
        <w:ind w:left="3532" w:hanging="360"/>
      </w:pPr>
    </w:lvl>
    <w:lvl w:ilvl="5" w:tplc="0419001B" w:tentative="1">
      <w:start w:val="1"/>
      <w:numFmt w:val="lowerRoman"/>
      <w:lvlText w:val="%6."/>
      <w:lvlJc w:val="right"/>
      <w:pPr>
        <w:ind w:left="4252" w:hanging="180"/>
      </w:pPr>
    </w:lvl>
    <w:lvl w:ilvl="6" w:tplc="0419000F" w:tentative="1">
      <w:start w:val="1"/>
      <w:numFmt w:val="decimal"/>
      <w:lvlText w:val="%7."/>
      <w:lvlJc w:val="left"/>
      <w:pPr>
        <w:ind w:left="4972" w:hanging="360"/>
      </w:pPr>
    </w:lvl>
    <w:lvl w:ilvl="7" w:tplc="04190019" w:tentative="1">
      <w:start w:val="1"/>
      <w:numFmt w:val="lowerLetter"/>
      <w:lvlText w:val="%8."/>
      <w:lvlJc w:val="left"/>
      <w:pPr>
        <w:ind w:left="5692" w:hanging="360"/>
      </w:pPr>
    </w:lvl>
    <w:lvl w:ilvl="8" w:tplc="0419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4" w15:restartNumberingAfterBreak="0">
    <w:nsid w:val="68401F31"/>
    <w:multiLevelType w:val="hybridMultilevel"/>
    <w:tmpl w:val="960CDF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47"/>
    <w:rsid w:val="000D282D"/>
    <w:rsid w:val="001D1074"/>
    <w:rsid w:val="0020756C"/>
    <w:rsid w:val="002938ED"/>
    <w:rsid w:val="003E426D"/>
    <w:rsid w:val="0051115E"/>
    <w:rsid w:val="00591715"/>
    <w:rsid w:val="006222E8"/>
    <w:rsid w:val="00637FE3"/>
    <w:rsid w:val="00643E38"/>
    <w:rsid w:val="00756F22"/>
    <w:rsid w:val="007D7164"/>
    <w:rsid w:val="008A2DDA"/>
    <w:rsid w:val="00952D90"/>
    <w:rsid w:val="00AB011D"/>
    <w:rsid w:val="00B451C4"/>
    <w:rsid w:val="00B5608D"/>
    <w:rsid w:val="00C22AC0"/>
    <w:rsid w:val="00D55949"/>
    <w:rsid w:val="00DD1B84"/>
    <w:rsid w:val="00E1231C"/>
    <w:rsid w:val="00EA5F19"/>
    <w:rsid w:val="00F66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CF751"/>
  <w15:docId w15:val="{A5A0B47E-05B3-449A-BE47-DCA99D36C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6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6684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F6684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F668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6847"/>
    <w:pPr>
      <w:widowControl w:val="0"/>
      <w:shd w:val="clear" w:color="auto" w:fill="FFFFFF"/>
      <w:spacing w:before="1320" w:line="0" w:lineRule="atLeast"/>
      <w:ind w:hanging="300"/>
      <w:jc w:val="both"/>
    </w:pPr>
    <w:rPr>
      <w:sz w:val="22"/>
      <w:szCs w:val="22"/>
      <w:lang w:eastAsia="en-US"/>
    </w:rPr>
  </w:style>
  <w:style w:type="character" w:styleId="a5">
    <w:name w:val="annotation reference"/>
    <w:basedOn w:val="a0"/>
    <w:uiPriority w:val="99"/>
    <w:semiHidden/>
    <w:unhideWhenUsed/>
    <w:rsid w:val="003E426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E426D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E42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E426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E426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2DD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2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76F2A-2537-4329-9CCE-39021366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1628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В</dc:creator>
  <cp:lastModifiedBy>User</cp:lastModifiedBy>
  <cp:revision>3</cp:revision>
  <dcterms:created xsi:type="dcterms:W3CDTF">2022-04-06T08:16:00Z</dcterms:created>
  <dcterms:modified xsi:type="dcterms:W3CDTF">2022-04-07T07:07:00Z</dcterms:modified>
</cp:coreProperties>
</file>