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5EC7306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73679D">
              <w:rPr>
                <w:sz w:val="26"/>
                <w:szCs w:val="26"/>
                <w:shd w:val="clear" w:color="auto" w:fill="FFFFFF"/>
              </w:rPr>
              <w:t>М</w:t>
            </w:r>
            <w:r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73679D">
              <w:rPr>
                <w:sz w:val="26"/>
                <w:szCs w:val="26"/>
                <w:shd w:val="clear" w:color="auto" w:fill="FFFFFF"/>
              </w:rPr>
              <w:t>С</w:t>
            </w:r>
            <w:r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73679D">
              <w:rPr>
                <w:sz w:val="26"/>
                <w:szCs w:val="26"/>
                <w:shd w:val="clear" w:color="auto" w:fill="FFFFFF"/>
              </w:rPr>
              <w:t>Коптев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30E11FCA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752734" w:rsidRPr="00081D3D">
              <w:t>12</w:t>
            </w:r>
            <w:r w:rsidRPr="00A022A7">
              <w:t xml:space="preserve">» </w:t>
            </w:r>
            <w:r w:rsidR="00B4531D">
              <w:t>декабря</w:t>
            </w:r>
            <w:r w:rsidRPr="00A022A7">
              <w:t xml:space="preserve"> 2021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26AE42ED" w14:textId="6D964A0D" w:rsidR="00FA253D" w:rsidRPr="00752734" w:rsidRDefault="00752734" w:rsidP="00752734">
      <w:pPr>
        <w:spacing w:line="276" w:lineRule="auto"/>
        <w:jc w:val="right"/>
        <w:rPr>
          <w:bCs/>
          <w:shd w:val="clear" w:color="auto" w:fill="DBE5F1" w:themeFill="accent1" w:themeFillTint="33"/>
        </w:rPr>
      </w:pPr>
      <w:r w:rsidRPr="00752734">
        <w:rPr>
          <w:bCs/>
          <w:shd w:val="clear" w:color="auto" w:fill="DBE5F1" w:themeFill="accent1" w:themeFillTint="33"/>
        </w:rPr>
        <w:t>выполнение работ по организации мероприятий по благоустройству территории города Мурманска в части устройства катка для массового катания с искусственным покрытием</w:t>
      </w: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035090A3" w:rsidR="00810B92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4C96E38" w14:textId="7E962C3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622C2575" w14:textId="52A5D8B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3F789F54" w14:textId="77777777" w:rsidR="009D5EE1" w:rsidRPr="00A022A7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  <w:t>2021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3F1CBF54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 xml:space="preserve"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</w:t>
      </w:r>
      <w:r w:rsidRPr="009D417E">
        <w:rPr>
          <w:sz w:val="20"/>
          <w:szCs w:val="20"/>
        </w:rPr>
        <w:t>«Центр городского развития Мурманской области» от 12 июля 2021 года № 7</w:t>
      </w:r>
      <w:r w:rsidRPr="00A022A7">
        <w:rPr>
          <w:color w:val="000000"/>
          <w:sz w:val="20"/>
          <w:szCs w:val="20"/>
        </w:rPr>
        <w:t xml:space="preserve"> и иными, принятыми в соответствии с ними, локальными нормативными актами и организационно-распорядительными документами Заказчика.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7403123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>a.vavilova@gorod51.com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C65558">
        <w:trPr>
          <w:trHeight w:val="2162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3C3D9836" w14:textId="77777777" w:rsidR="00CE1CA7" w:rsidRDefault="00061E06" w:rsidP="00061E0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 xml:space="preserve">a.vavilova@gorod51.com </w:t>
            </w:r>
          </w:p>
          <w:p w14:paraId="331CA1BC" w14:textId="291C42DB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4F699EF5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>Предмет</w:t>
            </w:r>
            <w:r w:rsidR="005F71AD">
              <w:rPr>
                <w:b/>
                <w:sz w:val="18"/>
                <w:szCs w:val="18"/>
              </w:rPr>
              <w:t>:</w:t>
            </w:r>
            <w:r w:rsidR="007921EA">
              <w:t xml:space="preserve"> </w:t>
            </w:r>
            <w:r w:rsidR="00752734" w:rsidRPr="00752734">
              <w:rPr>
                <w:b/>
                <w:sz w:val="18"/>
                <w:szCs w:val="18"/>
              </w:rPr>
              <w:t>выполнение работ по организации мероприятий по благоустройству территории города Мурманска в части устройства катка для массового катания с искусственным покрытием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2E16999" w:rsidR="001E1BA4" w:rsidRPr="00A022A7" w:rsidRDefault="00764F25" w:rsidP="000F6767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</w:t>
            </w:r>
            <w:r w:rsidR="000F6767">
              <w:rPr>
                <w:b/>
                <w:sz w:val="18"/>
                <w:szCs w:val="18"/>
              </w:rPr>
              <w:t>выполняемых работ</w:t>
            </w:r>
            <w:r w:rsidRPr="0034177A">
              <w:rPr>
                <w:b/>
                <w:sz w:val="18"/>
                <w:szCs w:val="18"/>
              </w:rPr>
              <w:t xml:space="preserve">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C65558">
        <w:trPr>
          <w:trHeight w:val="13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A8F" w14:textId="37EBD6F2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14:paraId="1C957AFB" w14:textId="657F91DE" w:rsidR="000F6767" w:rsidRPr="000F6767" w:rsidRDefault="00752734" w:rsidP="000C42D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52734">
              <w:rPr>
                <w:bCs/>
                <w:color w:val="000000"/>
                <w:sz w:val="18"/>
                <w:szCs w:val="18"/>
              </w:rPr>
              <w:t>Мурманская область, город Мурманск, улица Воровского, вблизи дома № 11.</w:t>
            </w:r>
          </w:p>
          <w:p w14:paraId="59946EF5" w14:textId="390C012A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Сроки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14:paraId="1BE6F3CB" w14:textId="33445BC3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14:paraId="0623645A" w14:textId="3169DF43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1 этап выполнения работ:</w:t>
            </w:r>
          </w:p>
          <w:p w14:paraId="16CD8D9D" w14:textId="054D7D48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Начало выполнения работ – с даты подписания Договора;</w:t>
            </w:r>
          </w:p>
          <w:p w14:paraId="66BE8D5C" w14:textId="26C219C5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Окончание выполнения работ – не позднее 5 января 2022 года.</w:t>
            </w:r>
          </w:p>
          <w:p w14:paraId="3741EDA5" w14:textId="46697F8D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2 этап оказания услуг:</w:t>
            </w:r>
          </w:p>
          <w:p w14:paraId="7746AA01" w14:textId="5A99DF65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Начало оказания услуг – с даты подписания акта сдачи-приемки выполненных работ в рамках 1 этапа;</w:t>
            </w:r>
          </w:p>
          <w:p w14:paraId="6CF4EB1C" w14:textId="24407F8F" w:rsidR="00D30422" w:rsidRPr="00D30422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30422">
              <w:rPr>
                <w:bCs/>
                <w:color w:val="000000"/>
                <w:sz w:val="18"/>
                <w:szCs w:val="18"/>
              </w:rPr>
              <w:t>Окончание оказания услуг – 1 марта 2022 года.</w:t>
            </w:r>
          </w:p>
          <w:p w14:paraId="66D52641" w14:textId="00843733" w:rsidR="000F6767" w:rsidRDefault="00D30422" w:rsidP="00D30422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Pr="00D30422">
              <w:rPr>
                <w:bCs/>
                <w:color w:val="000000"/>
                <w:sz w:val="18"/>
                <w:szCs w:val="18"/>
              </w:rPr>
              <w:t xml:space="preserve">Датой окончания выполнения работ является дата подписания актов о приёмке выполненных работ (форма КС-2) Заказчиком, справки о стоимости выполненных работ и затрат (форма КС-3), а также акта сдачи-приемки выполненных работ </w:t>
            </w:r>
            <w:r w:rsidR="00752734">
              <w:rPr>
                <w:bCs/>
                <w:color w:val="000000"/>
                <w:sz w:val="18"/>
                <w:szCs w:val="18"/>
              </w:rPr>
              <w:t>в срок до 1 мата 2022</w:t>
            </w:r>
            <w:r w:rsidR="00752734" w:rsidRPr="00752734">
              <w:rPr>
                <w:bCs/>
                <w:color w:val="000000"/>
                <w:sz w:val="18"/>
                <w:szCs w:val="18"/>
              </w:rPr>
              <w:t>.</w:t>
            </w:r>
            <w:r w:rsidR="000F6767" w:rsidRPr="000F6767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  <w:p w14:paraId="3A41948B" w14:textId="32C26623" w:rsidR="006341D4" w:rsidRPr="00A022A7" w:rsidRDefault="007D2224" w:rsidP="000F676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0F6767">
        <w:trPr>
          <w:trHeight w:val="5122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69E6" w14:textId="4552C85F" w:rsidR="00752734" w:rsidRPr="00752734" w:rsidRDefault="00752734" w:rsidP="0075273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52734">
              <w:rPr>
                <w:bCs/>
                <w:sz w:val="20"/>
                <w:szCs w:val="20"/>
              </w:rPr>
              <w:t xml:space="preserve">Оплата в рамках </w:t>
            </w:r>
            <w:r>
              <w:rPr>
                <w:bCs/>
                <w:sz w:val="20"/>
                <w:szCs w:val="20"/>
              </w:rPr>
              <w:t>Договора</w:t>
            </w:r>
            <w:r w:rsidRPr="00752734">
              <w:rPr>
                <w:bCs/>
                <w:sz w:val="20"/>
                <w:szCs w:val="20"/>
              </w:rPr>
              <w:t xml:space="preserve"> производится в следующем порядке:</w:t>
            </w:r>
          </w:p>
          <w:p w14:paraId="67435FB0" w14:textId="647B513B" w:rsidR="00752734" w:rsidRPr="00752734" w:rsidRDefault="00752734" w:rsidP="0075273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52734">
              <w:rPr>
                <w:bCs/>
                <w:sz w:val="20"/>
                <w:szCs w:val="20"/>
              </w:rPr>
              <w:t xml:space="preserve">Оплата выполненных работ в рамках 1 этапа производится исходя из фактически выполненного объема работ и стоимости используемых материалов, в пределах  цены Договора, на основании подписанных Подрядчиком и уполномоченным лицом Заказчика актов о приемке выполненных работ (форма КС-2), справки о стоимости выполненных работ (форма КС-3), счета на оплату и/или счет-фактуры, исполнительной и иной документации, оформленной в установленном порядке, а также акта сдачи-приемки выполненных работ по форме Приложения №3 к </w:t>
            </w:r>
            <w:r w:rsidRPr="007D2224">
              <w:rPr>
                <w:i/>
                <w:sz w:val="18"/>
                <w:szCs w:val="18"/>
              </w:rPr>
              <w:t>раздел</w:t>
            </w:r>
            <w:r>
              <w:rPr>
                <w:i/>
                <w:sz w:val="18"/>
                <w:szCs w:val="18"/>
              </w:rPr>
              <w:t>у</w:t>
            </w:r>
            <w:r w:rsidRPr="007D2224">
              <w:rPr>
                <w:i/>
                <w:sz w:val="18"/>
                <w:szCs w:val="18"/>
              </w:rPr>
              <w:t xml:space="preserve">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</w:t>
            </w:r>
            <w:r w:rsidRPr="00752734">
              <w:rPr>
                <w:bCs/>
                <w:sz w:val="20"/>
                <w:szCs w:val="20"/>
              </w:rPr>
              <w:t>.</w:t>
            </w:r>
          </w:p>
          <w:p w14:paraId="1EBAD98D" w14:textId="77777777" w:rsidR="00752734" w:rsidRPr="00752734" w:rsidRDefault="00752734" w:rsidP="0075273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52734">
              <w:rPr>
                <w:bCs/>
                <w:sz w:val="20"/>
                <w:szCs w:val="20"/>
              </w:rPr>
              <w:t xml:space="preserve">Оплата выполненных работ производится в срок не более чем 30 (тридцать) рабочих дней после подписания Заказчиком актов о приемке выполненных работ (форма КС-2), справки о стоимости выполненных работ и затрат (форма КС-3), акта сдачи-приемки выполненных работ, а также на основании выставленного Подрядчиком счета на оплату и/или счет-фактуры. </w:t>
            </w:r>
          </w:p>
          <w:p w14:paraId="0138BE4F" w14:textId="32054D39" w:rsidR="00752734" w:rsidRPr="00752734" w:rsidRDefault="00752734" w:rsidP="0075273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52734">
              <w:rPr>
                <w:bCs/>
                <w:sz w:val="20"/>
                <w:szCs w:val="20"/>
              </w:rPr>
              <w:t xml:space="preserve">Оплата оказанных услуг в рамках 2 этапа производится Заказчиком ежемесячно в течение 15 (пятнадцати) рабочих дней с даты подписания Сторонами акта об оказании услуг по форме Приложения №5 к </w:t>
            </w:r>
            <w:r w:rsidRPr="007D2224">
              <w:rPr>
                <w:i/>
                <w:sz w:val="18"/>
                <w:szCs w:val="18"/>
              </w:rPr>
              <w:t>раздел</w:t>
            </w:r>
            <w:r>
              <w:rPr>
                <w:i/>
                <w:sz w:val="18"/>
                <w:szCs w:val="18"/>
              </w:rPr>
              <w:t>у</w:t>
            </w:r>
            <w:r w:rsidRPr="007D2224">
              <w:rPr>
                <w:i/>
                <w:sz w:val="18"/>
                <w:szCs w:val="18"/>
              </w:rPr>
              <w:t xml:space="preserve">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</w:t>
            </w:r>
            <w:r w:rsidRPr="00752734">
              <w:rPr>
                <w:bCs/>
                <w:sz w:val="20"/>
                <w:szCs w:val="20"/>
              </w:rPr>
              <w:t xml:space="preserve"> и выставленного Подрядчиком счета на оплату/счет-фактуры.</w:t>
            </w:r>
          </w:p>
          <w:p w14:paraId="74A3A437" w14:textId="3A934802" w:rsidR="001E1BA4" w:rsidRPr="00A022A7" w:rsidRDefault="00752734" w:rsidP="00752734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752734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2F177D9C" w:rsidR="00263377" w:rsidRPr="00F33582" w:rsidRDefault="006556BA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12 700 000</w:t>
            </w:r>
            <w:r w:rsidR="00216715" w:rsidRPr="00216715">
              <w:rPr>
                <w:b/>
                <w:iCs/>
                <w:sz w:val="18"/>
                <w:szCs w:val="18"/>
              </w:rPr>
              <w:t xml:space="preserve"> (</w:t>
            </w:r>
            <w:r>
              <w:rPr>
                <w:b/>
                <w:iCs/>
                <w:sz w:val="18"/>
                <w:szCs w:val="18"/>
              </w:rPr>
              <w:t>двенадцать миллионов семьсот тысяч</w:t>
            </w:r>
            <w:r w:rsidR="00216715" w:rsidRPr="00216715">
              <w:rPr>
                <w:b/>
                <w:iCs/>
                <w:sz w:val="18"/>
                <w:szCs w:val="18"/>
              </w:rPr>
              <w:t xml:space="preserve">) рублей </w:t>
            </w:r>
            <w:r>
              <w:rPr>
                <w:b/>
                <w:iCs/>
                <w:sz w:val="18"/>
                <w:szCs w:val="18"/>
              </w:rPr>
              <w:t>00</w:t>
            </w:r>
            <w:r w:rsidR="00216715" w:rsidRPr="00216715">
              <w:rPr>
                <w:b/>
                <w:iCs/>
                <w:sz w:val="18"/>
                <w:szCs w:val="18"/>
              </w:rPr>
              <w:t xml:space="preserve"> копеек</w:t>
            </w:r>
            <w:r w:rsidR="00263377" w:rsidRPr="00CE1CA7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6229183A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6556BA" w:rsidRPr="006556BA">
              <w:rPr>
                <w:iCs/>
                <w:sz w:val="18"/>
                <w:szCs w:val="18"/>
              </w:rPr>
              <w:t xml:space="preserve">включает в себя все расходы, необходимые для надлежащего выполнения работ, оказания услуг по Договору, учитывает в своем составе полный комплекс работ и затрат, </w:t>
            </w:r>
            <w:r w:rsidR="006556BA" w:rsidRPr="006556BA">
              <w:rPr>
                <w:iCs/>
                <w:sz w:val="18"/>
                <w:szCs w:val="18"/>
              </w:rPr>
              <w:lastRenderedPageBreak/>
              <w:t>необходимых для выполнения Договора, в том числе включает в себя прибыль Подрядчика, обслуживание объекта, подключение к электрическим сетям</w:t>
            </w:r>
            <w:r w:rsidR="00C94409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451B7F15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6556BA">
              <w:rPr>
                <w:b/>
                <w:sz w:val="20"/>
                <w:szCs w:val="20"/>
                <w:u w:val="single"/>
              </w:rPr>
              <w:t>13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6556BA">
              <w:rPr>
                <w:b/>
                <w:sz w:val="20"/>
                <w:szCs w:val="20"/>
                <w:u w:val="single"/>
              </w:rPr>
              <w:t>декабря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2021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07B0CF20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6556BA">
              <w:rPr>
                <w:b/>
                <w:sz w:val="20"/>
                <w:szCs w:val="20"/>
                <w:u w:val="single"/>
              </w:rPr>
              <w:t>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F6767">
              <w:rPr>
                <w:b/>
                <w:sz w:val="20"/>
                <w:szCs w:val="20"/>
                <w:u w:val="single"/>
              </w:rPr>
              <w:t>декабря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года 08-00 (по </w:t>
            </w:r>
            <w:proofErr w:type="spellStart"/>
            <w:r w:rsidRPr="00BD45B1">
              <w:rPr>
                <w:b/>
                <w:sz w:val="20"/>
                <w:szCs w:val="20"/>
                <w:u w:val="single"/>
              </w:rPr>
              <w:t>мск</w:t>
            </w:r>
            <w:proofErr w:type="spellEnd"/>
            <w:r w:rsidRPr="00BD45B1">
              <w:rPr>
                <w:b/>
                <w:sz w:val="20"/>
                <w:szCs w:val="20"/>
                <w:u w:val="single"/>
              </w:rPr>
              <w:t>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5C19AD6A" w:rsidR="006341D4" w:rsidRPr="00A022A7" w:rsidRDefault="00BD45B1" w:rsidP="006556BA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6556BA">
              <w:rPr>
                <w:b/>
                <w:sz w:val="20"/>
                <w:szCs w:val="20"/>
                <w:u w:val="single"/>
              </w:rPr>
              <w:t>22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0F6767">
              <w:rPr>
                <w:b/>
                <w:sz w:val="20"/>
                <w:szCs w:val="20"/>
                <w:u w:val="single"/>
              </w:rPr>
              <w:t>декабря</w:t>
            </w:r>
            <w:r w:rsidR="000F6767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6556BA">
              <w:rPr>
                <w:b/>
                <w:sz w:val="20"/>
                <w:szCs w:val="20"/>
                <w:u w:val="single"/>
              </w:rPr>
              <w:t>22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477FB8">
              <w:rPr>
                <w:b/>
                <w:sz w:val="20"/>
                <w:szCs w:val="20"/>
                <w:u w:val="single"/>
              </w:rPr>
              <w:t>дека</w:t>
            </w:r>
            <w:r w:rsidR="00F921E3">
              <w:rPr>
                <w:b/>
                <w:sz w:val="20"/>
                <w:szCs w:val="20"/>
                <w:u w:val="single"/>
              </w:rPr>
              <w:t>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681ABA8A" w:rsidR="006341D4" w:rsidRPr="00A022A7" w:rsidRDefault="00BD45B1" w:rsidP="006556BA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6556BA">
              <w:rPr>
                <w:b/>
                <w:sz w:val="20"/>
                <w:szCs w:val="20"/>
                <w:u w:val="single"/>
              </w:rPr>
              <w:t>22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0F6767">
              <w:rPr>
                <w:b/>
                <w:sz w:val="20"/>
                <w:szCs w:val="20"/>
                <w:u w:val="single"/>
              </w:rPr>
              <w:t>декабря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17293248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6556BA">
              <w:rPr>
                <w:b/>
                <w:sz w:val="20"/>
                <w:szCs w:val="20"/>
              </w:rPr>
              <w:t>13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6556BA">
              <w:rPr>
                <w:b/>
                <w:sz w:val="20"/>
                <w:szCs w:val="20"/>
              </w:rPr>
              <w:t>декабря</w:t>
            </w:r>
            <w:r w:rsidRPr="00A022A7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1A961569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6556BA">
              <w:rPr>
                <w:b/>
                <w:sz w:val="20"/>
                <w:szCs w:val="20"/>
              </w:rPr>
              <w:t>17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0F6767">
              <w:rPr>
                <w:b/>
                <w:sz w:val="20"/>
                <w:szCs w:val="20"/>
              </w:rPr>
              <w:t>декабря</w:t>
            </w:r>
            <w:r w:rsidR="00BD45B1" w:rsidRPr="00A022A7">
              <w:rPr>
                <w:b/>
                <w:sz w:val="20"/>
                <w:szCs w:val="20"/>
              </w:rPr>
              <w:t xml:space="preserve"> </w:t>
            </w:r>
            <w:r w:rsidRPr="00A022A7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proofErr w:type="spellStart"/>
            <w:r w:rsidR="00F663CE" w:rsidRPr="00A022A7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A022A7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неприостановление</w:t>
            </w:r>
            <w:proofErr w:type="spellEnd"/>
            <w:r w:rsidRPr="00A022A7">
              <w:rPr>
                <w:sz w:val="18"/>
                <w:szCs w:val="18"/>
              </w:rPr>
              <w:t xml:space="preserve"> деятельности участника закупки в по</w:t>
            </w:r>
            <w:r w:rsidRPr="00A022A7">
              <w:rPr>
                <w:sz w:val="18"/>
                <w:szCs w:val="18"/>
              </w:rPr>
              <w:lastRenderedPageBreak/>
              <w:t>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непривлечение</w:t>
            </w:r>
            <w:proofErr w:type="spellEnd"/>
            <w:r w:rsidRPr="00A022A7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1A7BEC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1A7BEC" w:rsidRPr="00A022A7" w:rsidRDefault="001A7BEC" w:rsidP="001A7BE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1A7BEC" w:rsidRPr="00A022A7" w:rsidRDefault="001A7BEC" w:rsidP="001A7BEC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C2E6" w14:textId="77777777" w:rsidR="00D30422" w:rsidRPr="00B4531D" w:rsidRDefault="00D30422" w:rsidP="00D30422">
            <w:pPr>
              <w:ind w:firstLine="406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14:paraId="031FC7A7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 </w:t>
            </w: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Согласие участника конкурса в электронной форме. Раздел IV. ОБРАЗЦЫ ФОРМ).</w:t>
            </w:r>
          </w:p>
          <w:p w14:paraId="753AF9D4" w14:textId="77777777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конкурса в электронной форме о цене договора (цене единицы товара, работы, услуги, суммы цен товара, работы, услуги).</w:t>
            </w:r>
          </w:p>
          <w:p w14:paraId="728F21A4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</w:p>
          <w:p w14:paraId="780A896F" w14:textId="77777777" w:rsidR="00D30422" w:rsidRPr="00B4531D" w:rsidRDefault="00D30422" w:rsidP="00D30422">
            <w:pPr>
              <w:tabs>
                <w:tab w:val="left" w:pos="0"/>
              </w:tabs>
              <w:ind w:firstLine="406"/>
              <w:jc w:val="both"/>
              <w:rPr>
                <w:iCs/>
                <w:sz w:val="18"/>
                <w:szCs w:val="18"/>
              </w:rPr>
            </w:pPr>
            <w:r w:rsidRPr="00B4531D">
              <w:rPr>
                <w:iCs/>
                <w:sz w:val="18"/>
                <w:szCs w:val="18"/>
              </w:rPr>
              <w:t xml:space="preserve">3) при осуществлении закупки товара, в том числе поставляемого Заказчику при выполнении закупаемых работ, оказании закупаемых услуг: </w:t>
            </w:r>
          </w:p>
          <w:p w14:paraId="47476714" w14:textId="77777777" w:rsidR="00D30422" w:rsidRPr="00B4531D" w:rsidRDefault="00D30422" w:rsidP="00D30422">
            <w:pPr>
              <w:tabs>
                <w:tab w:val="left" w:pos="0"/>
              </w:tabs>
              <w:ind w:firstLine="406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Cs/>
                <w:sz w:val="18"/>
                <w:szCs w:val="18"/>
              </w:rPr>
              <w:t>3.1) конкретные показатели товара, соответствующие значениям, установленным документацией конкурса в электронной форме; (</w:t>
            </w:r>
            <w:r w:rsidRPr="00B4531D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  <w:r w:rsidRPr="00B4531D">
              <w:rPr>
                <w:sz w:val="18"/>
                <w:szCs w:val="18"/>
              </w:rPr>
              <w:t xml:space="preserve">    </w:t>
            </w:r>
          </w:p>
          <w:p w14:paraId="194A3892" w14:textId="77777777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  4)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4F68E565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2. СВЕДЕНИЯ ОБ УЧАСТНИКЕ ЗАКУПКИ. Раздел IV. ОБРАЗЦЫ ФОРМ).</w:t>
            </w:r>
          </w:p>
          <w:p w14:paraId="063541E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5) копии учредительных документов участника закупки (для юридических лиц).</w:t>
            </w:r>
          </w:p>
          <w:p w14:paraId="442E68E7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B4531D">
              <w:rPr>
                <w:sz w:val="18"/>
                <w:szCs w:val="18"/>
              </w:rPr>
              <w:t xml:space="preserve">    6)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437B36E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7) документ, подтверждающий полномочия лица на осуществление действий от имени участника закупки.</w:t>
            </w:r>
          </w:p>
          <w:p w14:paraId="68F69668" w14:textId="77777777" w:rsidR="00D30422" w:rsidRPr="00B4531D" w:rsidRDefault="00D30422" w:rsidP="00D30422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8) документы, подтверждающие соответствие участника закупки требованиям, установленным в подпункте 1 пункта 8.1.1 Положения и подпункта 1 пункта 12.1 настоящей документации – не </w:t>
            </w:r>
            <w:r w:rsidRPr="00B4531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56F50718" w14:textId="77777777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    9)</w:t>
            </w:r>
            <w:r w:rsidRPr="00B4531D">
              <w:rPr>
                <w:b/>
                <w:bCs/>
                <w:sz w:val="18"/>
                <w:szCs w:val="18"/>
              </w:rPr>
              <w:t xml:space="preserve"> </w:t>
            </w:r>
            <w:r w:rsidRPr="00B4531D">
              <w:rPr>
                <w:sz w:val="18"/>
                <w:szCs w:val="18"/>
              </w:rPr>
              <w:t xml:space="preserve">документы, подтверждающие квалификацию участника закупки, документы - </w:t>
            </w:r>
            <w:r w:rsidRPr="00B4531D">
              <w:rPr>
                <w:b/>
                <w:sz w:val="20"/>
                <w:szCs w:val="20"/>
              </w:rPr>
              <w:t>установлено (</w:t>
            </w:r>
            <w:r w:rsidRPr="00B4531D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B4531D">
              <w:rPr>
                <w:i/>
                <w:sz w:val="20"/>
                <w:szCs w:val="20"/>
                <w:lang w:val="en-US"/>
              </w:rPr>
              <w:t>I</w:t>
            </w:r>
            <w:r w:rsidRPr="00B4531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Pr="00B4531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Pr="00B4531D">
              <w:rPr>
                <w:b/>
                <w:sz w:val="20"/>
                <w:szCs w:val="20"/>
              </w:rPr>
              <w:t xml:space="preserve"> не </w:t>
            </w:r>
            <w:r w:rsidRPr="00B4531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111E1277" w14:textId="77777777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10)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49B7248A" w14:textId="77777777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11)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Pr="00B4531D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4531D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Pr="00B4531D">
              <w:rPr>
                <w:b/>
                <w:sz w:val="18"/>
                <w:szCs w:val="18"/>
              </w:rPr>
              <w:t>установлено (</w:t>
            </w:r>
            <w:r w:rsidRPr="00B4531D">
              <w:rPr>
                <w:i/>
                <w:iCs/>
                <w:sz w:val="18"/>
                <w:szCs w:val="18"/>
              </w:rPr>
              <w:t xml:space="preserve"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 </w:t>
            </w:r>
          </w:p>
          <w:p w14:paraId="12019CA6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 В случае, если в конкурсе 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62E34FF7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57F916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49F9A1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08AD664F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7F3A90AE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04CD54F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5440E4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5882C7F1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13.1 Раздела 1 «Информационной карты» настоящей документации;</w:t>
            </w:r>
          </w:p>
          <w:p w14:paraId="2C3D5952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4898606D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18B813EF" w14:textId="77777777" w:rsidR="00D30422" w:rsidRPr="00B4531D" w:rsidRDefault="00D30422" w:rsidP="00D30422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B4531D">
              <w:rPr>
                <w:i/>
                <w:sz w:val="18"/>
                <w:szCs w:val="18"/>
              </w:rPr>
              <w:t>(Рекомендуемая форма 3. План распределения объемов выполнения работ между членами коллективного участника</w:t>
            </w:r>
            <w:r w:rsidRPr="00B4531D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68E18599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13.2.2. Требование, установленные подпунктами 2 – 8 пункта 12.2 и пункта 12.3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2ECF2D41" w:rsidR="001A7BEC" w:rsidRPr="00B4531D" w:rsidRDefault="00D30422" w:rsidP="00D30422">
            <w:pPr>
              <w:jc w:val="both"/>
              <w:rPr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13.3. Заявка на участие в конкурсе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30BC7CB7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6556BA">
              <w:rPr>
                <w:b/>
                <w:iCs/>
                <w:noProof/>
                <w:sz w:val="18"/>
                <w:szCs w:val="18"/>
              </w:rPr>
              <w:t>63 500</w:t>
            </w:r>
            <w:r w:rsidR="00F921E3"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CE1CA7">
              <w:rPr>
                <w:b/>
                <w:iCs/>
                <w:noProof/>
                <w:sz w:val="18"/>
                <w:szCs w:val="18"/>
              </w:rPr>
              <w:t>(</w:t>
            </w:r>
            <w:r w:rsidR="006556BA">
              <w:rPr>
                <w:b/>
                <w:iCs/>
                <w:noProof/>
                <w:sz w:val="18"/>
                <w:szCs w:val="18"/>
              </w:rPr>
              <w:t>шестьдесят три тысячи пятьсот</w:t>
            </w:r>
            <w:r w:rsidRPr="00CE1CA7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6556BA">
              <w:rPr>
                <w:b/>
                <w:iCs/>
                <w:noProof/>
                <w:sz w:val="18"/>
                <w:szCs w:val="18"/>
              </w:rPr>
              <w:t>ей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6556BA">
              <w:rPr>
                <w:b/>
                <w:iCs/>
                <w:noProof/>
                <w:sz w:val="18"/>
                <w:szCs w:val="18"/>
              </w:rPr>
              <w:t>00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6556BA">
              <w:rPr>
                <w:b/>
                <w:iCs/>
                <w:noProof/>
                <w:sz w:val="18"/>
                <w:szCs w:val="18"/>
              </w:rPr>
              <w:t>копеек</w:t>
            </w:r>
            <w:r w:rsidRPr="00CE1CA7">
              <w:rPr>
                <w:iCs/>
                <w:noProof/>
                <w:sz w:val="18"/>
                <w:szCs w:val="18"/>
              </w:rPr>
              <w:t>.</w:t>
            </w:r>
          </w:p>
          <w:p w14:paraId="5F4AD6C7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51E80C2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0E3E84F8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14.4. </w:t>
            </w:r>
            <w:r w:rsidRPr="00271F3B">
              <w:rPr>
                <w:iCs/>
                <w:noProof/>
                <w:sz w:val="18"/>
                <w:szCs w:val="18"/>
              </w:rPr>
              <w:t>Обеспечение заявки возможно путем перечисления денежных средств на счет Заказчика по реквизитам, указанным в пункте 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271F3B">
              <w:rPr>
                <w:iCs/>
                <w:noProof/>
                <w:sz w:val="18"/>
                <w:szCs w:val="18"/>
              </w:rPr>
              <w:t xml:space="preserve"> настоящего раздела, либо путем предоставления банковской гарантии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0F7FE68D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5</w:t>
            </w:r>
            <w:r w:rsidRPr="00F4066B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38BC7B80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6</w:t>
            </w:r>
            <w:r w:rsidRPr="00F4066B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31DAB3E5" w:rsidR="009758DD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18F2D30E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C27A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55B92C3A" w14:textId="00B18E0B" w:rsidR="009758DD" w:rsidRPr="00B4531D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</w:t>
            </w:r>
            <w:r w:rsidRPr="00B4531D">
              <w:rPr>
                <w:iCs/>
                <w:noProof/>
                <w:sz w:val="18"/>
                <w:szCs w:val="18"/>
              </w:rPr>
              <w:t xml:space="preserve">для обеспечения </w:t>
            </w:r>
            <w:r w:rsidR="00CE1CA7" w:rsidRPr="00B4531D">
              <w:rPr>
                <w:iCs/>
                <w:noProof/>
                <w:sz w:val="18"/>
                <w:szCs w:val="18"/>
              </w:rPr>
              <w:t>заявк</w:t>
            </w:r>
            <w:r w:rsidR="002374EF" w:rsidRPr="00B4531D">
              <w:rPr>
                <w:iCs/>
                <w:noProof/>
                <w:sz w:val="18"/>
                <w:szCs w:val="18"/>
              </w:rPr>
              <w:t>и</w:t>
            </w:r>
            <w:r w:rsidRPr="00B4531D">
              <w:rPr>
                <w:iCs/>
                <w:noProof/>
                <w:sz w:val="18"/>
                <w:szCs w:val="18"/>
              </w:rPr>
              <w:t xml:space="preserve">: </w:t>
            </w:r>
            <w:r w:rsidR="004C5858" w:rsidRPr="00B4531D">
              <w:rPr>
                <w:iCs/>
                <w:noProof/>
                <w:sz w:val="18"/>
                <w:szCs w:val="18"/>
              </w:rPr>
              <w:t xml:space="preserve">обеспечение заявки на </w:t>
            </w:r>
            <w:r w:rsidR="00D30422" w:rsidRPr="00B4531D">
              <w:rPr>
                <w:iCs/>
                <w:noProof/>
                <w:sz w:val="18"/>
                <w:szCs w:val="18"/>
              </w:rPr>
              <w:t>выполнение работ по организации мероприятий по благоустройству территории города Мурманска в части устройства катка для массового катания с искусственным покрытием</w:t>
            </w:r>
            <w:r w:rsidR="002374EF" w:rsidRPr="00B4531D">
              <w:rPr>
                <w:iCs/>
                <w:noProof/>
                <w:sz w:val="18"/>
                <w:szCs w:val="18"/>
              </w:rPr>
              <w:t xml:space="preserve"> </w:t>
            </w:r>
            <w:r w:rsidRPr="00B4531D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50A55A53" w14:textId="0AEC1789" w:rsidR="00ED75D0" w:rsidRPr="00F4066B" w:rsidRDefault="00ED75D0" w:rsidP="00451A6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B4531D">
              <w:rPr>
                <w:iCs/>
                <w:noProof/>
                <w:sz w:val="18"/>
                <w:szCs w:val="18"/>
              </w:rPr>
              <w:t xml:space="preserve">14.9.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B4531D">
              <w:rPr>
                <w:iCs/>
                <w:noProof/>
                <w:sz w:val="18"/>
                <w:szCs w:val="18"/>
              </w:rPr>
              <w:t>1</w:t>
            </w:r>
            <w:r w:rsidRPr="00B4531D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B4531D">
              <w:rPr>
                <w:iCs/>
                <w:noProof/>
                <w:sz w:val="18"/>
                <w:szCs w:val="18"/>
              </w:rPr>
              <w:t>(пятнадцати</w:t>
            </w:r>
            <w:r w:rsidRPr="00B4531D">
              <w:rPr>
                <w:iCs/>
                <w:noProof/>
                <w:sz w:val="18"/>
                <w:szCs w:val="18"/>
              </w:rPr>
              <w:t>)</w:t>
            </w:r>
            <w:bookmarkStart w:id="1" w:name="_GoBack"/>
            <w:bookmarkEnd w:id="1"/>
            <w:r w:rsidRPr="00F4066B">
              <w:rPr>
                <w:iCs/>
                <w:noProof/>
                <w:sz w:val="18"/>
                <w:szCs w:val="18"/>
              </w:rPr>
              <w:t xml:space="preserve"> рабочих дней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0092" w14:textId="0225B564" w:rsidR="00C94409" w:rsidRPr="00F4066B" w:rsidRDefault="006556BA" w:rsidP="00D30422">
            <w:pPr>
              <w:jc w:val="both"/>
              <w:rPr>
                <w:b/>
                <w:iCs/>
                <w:noProof/>
                <w:sz w:val="18"/>
                <w:szCs w:val="18"/>
              </w:rPr>
            </w:pPr>
            <w:r w:rsidRPr="006556BA">
              <w:rPr>
                <w:b/>
                <w:i/>
                <w:iCs/>
                <w:color w:val="000000"/>
                <w:sz w:val="18"/>
                <w:szCs w:val="18"/>
              </w:rPr>
              <w:t xml:space="preserve">Обеспечение исполнения договора </w:t>
            </w: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не требуется.</w:t>
            </w:r>
          </w:p>
        </w:tc>
      </w:tr>
      <w:tr w:rsidR="00F663CE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A022A7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F663CE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33B97174" w:rsidR="005A0AD9" w:rsidRPr="005D4A1D" w:rsidRDefault="005A0AD9" w:rsidP="00E62397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- обеспечения исполнения договора, обеспечения гарантийных обязательств, должен превышать предусмотренный договором срок исполнения </w:t>
            </w:r>
            <w:r w:rsidRPr="005D4A1D">
              <w:rPr>
                <w:iCs/>
                <w:sz w:val="18"/>
                <w:szCs w:val="18"/>
              </w:rPr>
              <w:t xml:space="preserve">обязательств, которые должны быть обеспечены такой банковской гарантией, не менее чем на </w:t>
            </w:r>
            <w:r w:rsidR="005D4A1D" w:rsidRPr="005D4A1D">
              <w:rPr>
                <w:iCs/>
                <w:sz w:val="18"/>
                <w:szCs w:val="18"/>
              </w:rPr>
              <w:t>два</w:t>
            </w:r>
            <w:r w:rsidRPr="005D4A1D">
              <w:rPr>
                <w:iCs/>
                <w:sz w:val="18"/>
                <w:szCs w:val="18"/>
              </w:rPr>
              <w:t xml:space="preserve"> месяц</w:t>
            </w:r>
            <w:r w:rsidR="005D4A1D" w:rsidRPr="005D4A1D">
              <w:rPr>
                <w:iCs/>
                <w:sz w:val="18"/>
                <w:szCs w:val="18"/>
              </w:rPr>
              <w:t>а</w:t>
            </w:r>
            <w:r w:rsidRPr="005D4A1D">
              <w:rPr>
                <w:iCs/>
                <w:sz w:val="18"/>
                <w:szCs w:val="18"/>
              </w:rPr>
              <w:t>;</w:t>
            </w:r>
          </w:p>
          <w:p w14:paraId="25BD89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5D4A1D">
              <w:rPr>
                <w:iCs/>
                <w:sz w:val="18"/>
                <w:szCs w:val="18"/>
              </w:rPr>
              <w:t xml:space="preserve">8) отлагательное условие, предусматривающее заключение </w:t>
            </w:r>
            <w:r w:rsidRPr="00A022A7">
              <w:rPr>
                <w:iCs/>
                <w:color w:val="000000"/>
                <w:sz w:val="18"/>
                <w:szCs w:val="18"/>
              </w:rPr>
              <w:t>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A022A7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 w:rsidR="0004275C"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 w:rsidR="0004275C"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A022A7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D50CA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5CCDF1C8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476F8EBE" w:rsidR="008074DE" w:rsidRDefault="008074DE" w:rsidP="006556BA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 xml:space="preserve">.1. </w:t>
            </w:r>
            <w:r w:rsidRPr="00D50CA3">
              <w:rPr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sz w:val="18"/>
                <w:szCs w:val="18"/>
              </w:rPr>
              <w:t>в день принятия такого решения.</w:t>
            </w:r>
          </w:p>
          <w:p w14:paraId="7FA4FAE9" w14:textId="5BAFE4A7" w:rsidR="008074DE" w:rsidRPr="00A022A7" w:rsidRDefault="008074DE" w:rsidP="006556BA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21.2. </w:t>
            </w:r>
            <w:r w:rsidRPr="00D50CA3">
              <w:rPr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sz w:val="18"/>
                <w:szCs w:val="18"/>
              </w:rPr>
              <w:t>.</w:t>
            </w:r>
          </w:p>
        </w:tc>
      </w:tr>
      <w:tr w:rsidR="008074DE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D50CA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8074DE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A022A7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968A" w14:textId="72FED2CD" w:rsidR="008074DE" w:rsidRPr="00F24F8E" w:rsidRDefault="00F24F8E" w:rsidP="00F24F8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</w:t>
            </w:r>
            <w:r>
              <w:rPr>
                <w:i/>
                <w:sz w:val="20"/>
                <w:szCs w:val="20"/>
              </w:rPr>
              <w:t>купки. Раздел IV. ОБРАЗЦЫ ФОРМ.</w:t>
            </w:r>
          </w:p>
        </w:tc>
      </w:tr>
      <w:tr w:rsidR="008074DE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A022A7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34FDCA2F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14:paraId="07423708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1245EC1A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1.2. В целях оценки заявок и определения победителя в отношении каждой заявки Комиссия:</w:t>
      </w:r>
    </w:p>
    <w:p w14:paraId="1F7F4BC8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718B032E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7D05FF82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6A280B8B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1D4FD44D" w14:textId="77777777" w:rsidR="00E17411" w:rsidRPr="00A022A7" w:rsidRDefault="00E17411" w:rsidP="00E17411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    1.3. Для оценки заявок на участие в закупке Заказчик устанавливает следующие критерии оценки: </w:t>
      </w:r>
    </w:p>
    <w:p w14:paraId="1A904AAB" w14:textId="77777777" w:rsidR="00E17411" w:rsidRPr="00A022A7" w:rsidRDefault="00E17411" w:rsidP="00E17411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E17411" w:rsidRPr="008F57C4" w14:paraId="1D8CF22A" w14:textId="77777777" w:rsidTr="007921EA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3A8B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7B8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E3C9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7CF9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61C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F37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E17411" w:rsidRPr="008F57C4" w14:paraId="46164045" w14:textId="77777777" w:rsidTr="007921EA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FF49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F0B" w14:textId="77777777" w:rsidR="00E17411" w:rsidRPr="00DF7406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27AE9593" w14:textId="77777777" w:rsidR="00E17411" w:rsidRPr="00DF7406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44D" w14:textId="5481A91F" w:rsidR="00E17411" w:rsidRPr="00DF7406" w:rsidRDefault="002374EF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2E40" w14:textId="31561B10" w:rsidR="00E17411" w:rsidRPr="00DF7406" w:rsidRDefault="002374EF" w:rsidP="007921EA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25E5" w14:textId="77144BC2" w:rsidR="00E17411" w:rsidRPr="00DF7406" w:rsidRDefault="00E17411" w:rsidP="002374EF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0,</w:t>
            </w:r>
            <w:r w:rsidR="002374EF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11A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DF7406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DF7406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4E5D9AAF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DF7406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DF7406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DF7406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78040ACC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</w:p>
          <w:p w14:paraId="4E1F1FDB" w14:textId="77777777" w:rsidR="00E17411" w:rsidRPr="00DF7406" w:rsidRDefault="00B4531D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1B15F631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где:</w:t>
            </w:r>
          </w:p>
          <w:p w14:paraId="34928347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</w:rPr>
              <w:t>R</w:t>
            </w:r>
            <w:proofErr w:type="spellStart"/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73C30D96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proofErr w:type="spellStart"/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1CED28AF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DF7406">
              <w:rPr>
                <w:rFonts w:eastAsia="Calibri"/>
                <w:sz w:val="18"/>
                <w:szCs w:val="18"/>
              </w:rPr>
              <w:t xml:space="preserve"> – предложение по цене договора i-</w:t>
            </w:r>
            <w:proofErr w:type="spellStart"/>
            <w:r w:rsidRPr="00DF7406">
              <w:rPr>
                <w:rFonts w:eastAsia="Calibri"/>
                <w:sz w:val="18"/>
                <w:szCs w:val="18"/>
              </w:rPr>
              <w:t>го</w:t>
            </w:r>
            <w:proofErr w:type="spellEnd"/>
            <w:r w:rsidRPr="00DF7406">
              <w:rPr>
                <w:rFonts w:eastAsia="Calibri"/>
                <w:sz w:val="18"/>
                <w:szCs w:val="18"/>
              </w:rPr>
              <w:t xml:space="preserve"> участника закупки.</w:t>
            </w:r>
          </w:p>
          <w:p w14:paraId="513E7859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649BBFB4" w14:textId="77777777" w:rsidR="00E17411" w:rsidRPr="00DF7406" w:rsidRDefault="00E17411" w:rsidP="007921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2374EF" w:rsidRPr="008F57C4" w14:paraId="7903762A" w14:textId="77777777" w:rsidTr="007921EA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5C6" w14:textId="1307C942" w:rsidR="002374EF" w:rsidRPr="00DF7406" w:rsidRDefault="002410D2" w:rsidP="002374EF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F99B" w14:textId="502B0F64" w:rsidR="002374EF" w:rsidRPr="00FC7DD4" w:rsidRDefault="002410D2" w:rsidP="00FC7DD4">
            <w:pPr>
              <w:pStyle w:val="ConsPlusNormal0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Критерий 2</w:t>
            </w:r>
          </w:p>
          <w:p w14:paraId="3F8D5DEC" w14:textId="5F9C3351" w:rsidR="002374EF" w:rsidRPr="00FC7DD4" w:rsidRDefault="002374EF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C7DD4">
              <w:rPr>
                <w:b/>
                <w:iCs/>
                <w:sz w:val="20"/>
                <w:szCs w:val="20"/>
                <w:lang w:eastAsia="en-US"/>
              </w:rPr>
              <w:t>Опыт работы, связанный с предметом договора</w:t>
            </w:r>
            <w:r w:rsidRPr="00FC7DD4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 xml:space="preserve"> </w:t>
            </w:r>
            <w:r w:rsidRPr="00FC7DD4">
              <w:rPr>
                <w:rFonts w:eastAsia="Calibri"/>
                <w:b/>
                <w:iCs/>
                <w:sz w:val="20"/>
                <w:szCs w:val="20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0D50" w14:textId="03A1EDA9" w:rsidR="002374EF" w:rsidRPr="00DF7406" w:rsidRDefault="001B6D0E" w:rsidP="00237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2374EF" w:rsidRPr="00A022A7">
              <w:rPr>
                <w:sz w:val="20"/>
                <w:szCs w:val="20"/>
                <w:lang w:val="en-US" w:eastAsia="en-US"/>
              </w:rPr>
              <w:t>0</w:t>
            </w:r>
            <w:r w:rsidR="002374EF" w:rsidRPr="00A022A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8317" w14:textId="602CB713" w:rsidR="002374EF" w:rsidRPr="00DF7406" w:rsidRDefault="001B6D0E" w:rsidP="002374EF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FC7DD4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D8B5" w14:textId="7F8D1B53" w:rsidR="002374EF" w:rsidRPr="00DF7406" w:rsidRDefault="002374EF" w:rsidP="001B6D0E">
            <w:pPr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A022A7">
              <w:rPr>
                <w:sz w:val="20"/>
                <w:szCs w:val="20"/>
                <w:lang w:eastAsia="en-US"/>
              </w:rPr>
              <w:t>0,</w:t>
            </w:r>
            <w:r w:rsidR="001B6D0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6EF" w14:textId="20824249" w:rsidR="00E86520" w:rsidRPr="009D417E" w:rsidRDefault="00E86520" w:rsidP="00E86520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6520">
              <w:rPr>
                <w:rFonts w:ascii="Times New Roman" w:hAnsi="Times New Roman" w:cs="Times New Roman"/>
                <w:sz w:val="18"/>
                <w:szCs w:val="18"/>
              </w:rPr>
              <w:t xml:space="preserve">По данному критерию оценивается сумма заключенных и исполненных участником закупки аналогичных контрактов/договоров* за </w:t>
            </w: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 xml:space="preserve">последние </w:t>
            </w:r>
            <w:r w:rsidR="00081D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  <w:r w:rsidR="005D4A1D" w:rsidRPr="009D417E">
              <w:rPr>
                <w:rFonts w:ascii="Times New Roman" w:hAnsi="Times New Roman" w:cs="Times New Roman"/>
                <w:sz w:val="18"/>
                <w:szCs w:val="18"/>
              </w:rPr>
              <w:t>, на дату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 xml:space="preserve"> окончания подачи заявок на участие в конкурсе в электронной </w:t>
            </w:r>
            <w:r w:rsidR="001B6D0E" w:rsidRPr="009D417E">
              <w:rPr>
                <w:rFonts w:ascii="Times New Roman" w:hAnsi="Times New Roman" w:cs="Times New Roman"/>
                <w:sz w:val="18"/>
                <w:szCs w:val="18"/>
              </w:rPr>
              <w:t>форме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3FD9EF" w14:textId="77777777" w:rsidR="00E86520" w:rsidRPr="009D417E" w:rsidRDefault="00E86520" w:rsidP="00E86520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>Подтверждающие документы:</w:t>
            </w:r>
          </w:p>
          <w:p w14:paraId="733C286A" w14:textId="5618C0A4" w:rsidR="00E86520" w:rsidRPr="00C94409" w:rsidRDefault="00E86520" w:rsidP="00E86520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или акты выполненных работ/оказанных услуг), подтверждающих факт исполнения договоров.</w:t>
            </w:r>
          </w:p>
          <w:p w14:paraId="65E76AB5" w14:textId="7B2C7946" w:rsidR="00E86520" w:rsidRPr="00C94409" w:rsidRDefault="00E86520" w:rsidP="00E86520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>Количество баллов (</w:t>
            </w:r>
            <w:r w:rsidRPr="00C9440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</w:t>
            </w:r>
            <w:r w:rsidRPr="00C94409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1</w:t>
            </w: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>), присуждаемых по критерию оценки, будут присваиваться в зависимости от общей стоимости оказанных услуг, отраженной в актах оказанных услуг, подтвержденной документально (в руб.)</w:t>
            </w:r>
          </w:p>
          <w:p w14:paraId="79F599DC" w14:textId="77777777" w:rsidR="00E86520" w:rsidRPr="00C94409" w:rsidRDefault="00E86520" w:rsidP="00E86520">
            <w:pPr>
              <w:pStyle w:val="ConsPlusNormal0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D5C4D4" w14:textId="6C36ADE2" w:rsidR="00E86520" w:rsidRPr="00C94409" w:rsidRDefault="00E86520" w:rsidP="00E86520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 xml:space="preserve">- менее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10 0</w:t>
            </w:r>
            <w:r w:rsidR="00DA492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C94409" w:rsidRPr="00C94409"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>,00 – 0 баллов;</w:t>
            </w:r>
          </w:p>
          <w:p w14:paraId="4DECBA81" w14:textId="1FD4E180" w:rsidR="00E86520" w:rsidRPr="00B7637A" w:rsidRDefault="00E86520" w:rsidP="00E86520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409">
              <w:rPr>
                <w:rFonts w:ascii="Times New Roman" w:hAnsi="Times New Roman" w:cs="Times New Roman"/>
                <w:sz w:val="18"/>
                <w:szCs w:val="18"/>
              </w:rPr>
              <w:t xml:space="preserve">- от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10 0</w:t>
            </w:r>
            <w:r w:rsidR="00DA4926">
              <w:rPr>
                <w:rFonts w:ascii="Times New Roman" w:hAnsi="Times New Roman" w:cs="Times New Roman"/>
                <w:sz w:val="18"/>
                <w:szCs w:val="18"/>
              </w:rPr>
              <w:t xml:space="preserve">00 000,01 </w:t>
            </w:r>
            <w:r w:rsidR="00DA4926"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118E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00 000,00 – </w:t>
            </w:r>
            <w:r w:rsidR="001B6D0E" w:rsidRPr="00B7637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>0 баллов;</w:t>
            </w:r>
          </w:p>
          <w:p w14:paraId="0DBBB744" w14:textId="3C141635" w:rsidR="00E86520" w:rsidRPr="00B7637A" w:rsidRDefault="00E86520" w:rsidP="00E86520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- от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118E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00 000,01 до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637A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00 000,00 – </w:t>
            </w:r>
            <w:r w:rsidR="001B6D0E" w:rsidRPr="00B7637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>0 баллов;</w:t>
            </w:r>
          </w:p>
          <w:p w14:paraId="75725B5B" w14:textId="5C9B12FE" w:rsidR="00E86520" w:rsidRPr="00B7637A" w:rsidRDefault="00E86520" w:rsidP="00E86520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- от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118E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00 000,01 до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118E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00 000,00 – </w:t>
            </w:r>
            <w:r w:rsidR="001B6D0E" w:rsidRPr="00B7637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>0 баллов;</w:t>
            </w:r>
          </w:p>
          <w:p w14:paraId="6DAD3754" w14:textId="4BB1B5CB" w:rsidR="00E86520" w:rsidRDefault="001B6D0E" w:rsidP="00E86520">
            <w:pPr>
              <w:pStyle w:val="ConsPlusNormal0"/>
              <w:ind w:left="8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- от </w:t>
            </w:r>
            <w:r w:rsidR="009442F7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E86520"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118E" w:rsidRPr="00B7637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86520" w:rsidRPr="00B7637A">
              <w:rPr>
                <w:rFonts w:ascii="Times New Roman" w:hAnsi="Times New Roman" w:cs="Times New Roman"/>
                <w:sz w:val="18"/>
                <w:szCs w:val="18"/>
              </w:rPr>
              <w:t xml:space="preserve">00 000,01 и выше – 100 </w:t>
            </w:r>
            <w:r w:rsidR="00E86520" w:rsidRPr="00E86520">
              <w:rPr>
                <w:rFonts w:ascii="Times New Roman" w:hAnsi="Times New Roman" w:cs="Times New Roman"/>
                <w:sz w:val="18"/>
                <w:szCs w:val="18"/>
              </w:rPr>
              <w:t>баллов</w:t>
            </w:r>
          </w:p>
          <w:p w14:paraId="02699971" w14:textId="77777777" w:rsidR="00E86520" w:rsidRPr="00774953" w:rsidRDefault="00E86520" w:rsidP="00E86520">
            <w:pPr>
              <w:pStyle w:val="ConsPlusNormal0"/>
              <w:ind w:left="8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30873B" w14:textId="220971B0" w:rsidR="00E86520" w:rsidRPr="00774953" w:rsidRDefault="00E86520" w:rsidP="00E86520">
            <w:pPr>
              <w:ind w:firstLine="792"/>
              <w:jc w:val="both"/>
              <w:rPr>
                <w:snapToGrid w:val="0"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 xml:space="preserve">Для целей расчёта количества баллов по критерию «Опыт работы, связанный с предметом договора», аналогичными договорами являются договоры на </w:t>
            </w:r>
            <w:r w:rsidR="009442F7" w:rsidRPr="009442F7">
              <w:rPr>
                <w:b/>
                <w:sz w:val="18"/>
                <w:szCs w:val="18"/>
              </w:rPr>
              <w:t xml:space="preserve">выполнение работ по благоустройству территорий Мурманской области в части устройства спортивных </w:t>
            </w:r>
            <w:r w:rsidR="009442F7">
              <w:rPr>
                <w:b/>
                <w:sz w:val="18"/>
                <w:szCs w:val="18"/>
              </w:rPr>
              <w:t>объектов</w:t>
            </w:r>
            <w:r w:rsidRPr="00774953">
              <w:rPr>
                <w:b/>
                <w:snapToGrid w:val="0"/>
                <w:sz w:val="18"/>
                <w:szCs w:val="18"/>
              </w:rPr>
              <w:t>.</w:t>
            </w:r>
          </w:p>
          <w:p w14:paraId="45C0A3B2" w14:textId="212BC82B" w:rsidR="00E86520" w:rsidRPr="00774953" w:rsidRDefault="00E86520" w:rsidP="00E86520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К учету будет </w:t>
            </w:r>
            <w:r w:rsidR="005D4A1D" w:rsidRPr="009D417E">
              <w:rPr>
                <w:rFonts w:ascii="Times New Roman" w:hAnsi="Times New Roman" w:cs="Times New Roman"/>
                <w:sz w:val="18"/>
                <w:szCs w:val="18"/>
              </w:rPr>
              <w:t xml:space="preserve">сумма по </w:t>
            </w:r>
            <w:r w:rsidR="009D417E" w:rsidRPr="009D417E">
              <w:rPr>
                <w:rFonts w:ascii="Times New Roman" w:hAnsi="Times New Roman" w:cs="Times New Roman"/>
                <w:sz w:val="18"/>
                <w:szCs w:val="18"/>
              </w:rPr>
              <w:t>договорам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 xml:space="preserve">, отраженных в документах, подтверждающих факт выполнения работ, подписанных за последние </w:t>
            </w:r>
            <w:r w:rsidR="00081D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81D3D">
              <w:rPr>
                <w:rFonts w:ascii="Times New Roman" w:hAnsi="Times New Roman" w:cs="Times New Roman"/>
                <w:sz w:val="18"/>
                <w:szCs w:val="18"/>
              </w:rPr>
              <w:t>два</w:t>
            </w:r>
            <w:r w:rsidRPr="009D417E">
              <w:rPr>
                <w:rFonts w:ascii="Times New Roman" w:hAnsi="Times New Roman" w:cs="Times New Roman"/>
                <w:sz w:val="18"/>
                <w:szCs w:val="18"/>
              </w:rPr>
              <w:t>) года на дату окончания подачи заявок на участие в конкурсе в электронной форме по государственным контрактам (договорам) и гражданско-правовым договорам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, содержащих сведения о стоимости выполненных работ/оказанных услуг, которые исполнены на 100%, и по которым не применены штрафные санкции за нарушение сроков исполнения работ. Копии государственных контрактов (договоров) 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услуг.</w:t>
            </w:r>
          </w:p>
          <w:p w14:paraId="0A54C586" w14:textId="77777777" w:rsidR="00E86520" w:rsidRPr="00774953" w:rsidRDefault="00E86520" w:rsidP="00E86520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Подтверждающие документы:</w:t>
            </w:r>
          </w:p>
          <w:p w14:paraId="712A61B2" w14:textId="77777777" w:rsidR="00E86520" w:rsidRPr="00774953" w:rsidRDefault="00E86520" w:rsidP="00E86520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- копии договоров со всеми приложениями, указанных в справке о перечне и объемах исполнения аналогичных договоров, с приложением всех копий закрывающих документов (товарные накладные или акты выполненных работ), подтверждающих факт исполнения договоров.</w:t>
            </w:r>
          </w:p>
          <w:p w14:paraId="01F2D677" w14:textId="77777777" w:rsidR="00E86520" w:rsidRPr="00774953" w:rsidRDefault="00E86520" w:rsidP="00E86520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 договоры, не являющиеся аналогичными, договоры, не исполненные на 100%, а также договоры, по которым отсутствуют подтверждающие документы.</w:t>
            </w:r>
          </w:p>
          <w:p w14:paraId="5C1A3CD0" w14:textId="77777777" w:rsidR="00E86520" w:rsidRPr="00774953" w:rsidRDefault="00E86520" w:rsidP="00E86520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Представленные документы должны быть в виде неповторяющихся, полно читаемых копий, на которых видны необходимые подписи и печати.</w:t>
            </w:r>
          </w:p>
          <w:p w14:paraId="759BF07F" w14:textId="77777777" w:rsidR="00E86520" w:rsidRPr="00774953" w:rsidRDefault="00E86520" w:rsidP="00E86520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 предоставления Участником </w:t>
            </w:r>
            <w:r w:rsidRPr="00774953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закупки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774953">
              <w:rPr>
                <w:rFonts w:ascii="Times New Roman" w:hAnsi="Times New Roman" w:cs="Times New Roman"/>
                <w:b/>
                <w:sz w:val="18"/>
                <w:szCs w:val="18"/>
              </w:rPr>
              <w:t>0 баллов, при этом заявка такого участника не подлежит отклонению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A662F6B" w14:textId="77777777" w:rsidR="00E86520" w:rsidRPr="00774953" w:rsidRDefault="00B4531D" w:rsidP="00E86520">
            <w:pPr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E86520" w:rsidRPr="00774953">
              <w:rPr>
                <w:b/>
                <w:sz w:val="18"/>
                <w:szCs w:val="18"/>
              </w:rPr>
              <w:t xml:space="preserve"> = </w:t>
            </w:r>
            <w:r w:rsidR="00E86520" w:rsidRPr="00774953">
              <w:rPr>
                <w:b/>
                <w:sz w:val="18"/>
                <w:szCs w:val="18"/>
                <w:lang w:val="en-US"/>
              </w:rPr>
              <w:t>K</w:t>
            </w:r>
            <w:r w:rsidR="00E86520" w:rsidRPr="00774953">
              <w:rPr>
                <w:b/>
                <w:sz w:val="18"/>
                <w:szCs w:val="18"/>
                <w:vertAlign w:val="subscript"/>
              </w:rPr>
              <w:t>1</w:t>
            </w:r>
            <w:r w:rsidR="00E86520" w:rsidRPr="00774953">
              <w:rPr>
                <w:b/>
                <w:sz w:val="18"/>
                <w:szCs w:val="18"/>
              </w:rPr>
              <w:t xml:space="preserve">*КЗ  </w:t>
            </w:r>
          </w:p>
          <w:p w14:paraId="3D3622AB" w14:textId="77777777" w:rsidR="00E86520" w:rsidRPr="00774953" w:rsidRDefault="00B4531D" w:rsidP="00E86520">
            <w:pPr>
              <w:ind w:firstLine="851"/>
              <w:rPr>
                <w:rFonts w:eastAsia="Calibri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E86520" w:rsidRPr="00774953">
              <w:rPr>
                <w:rFonts w:eastAsia="Calibri"/>
                <w:sz w:val="18"/>
                <w:szCs w:val="18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01FD99D7" w14:textId="2D0AB0EC" w:rsidR="002374EF" w:rsidRPr="00E86520" w:rsidRDefault="00E86520" w:rsidP="00E86520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</w:t>
            </w:r>
            <w:r w:rsidRPr="00774953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1</w:t>
            </w:r>
            <w:r w:rsidRPr="00774953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774953">
              <w:rPr>
                <w:rFonts w:ascii="Times New Roman" w:eastAsia="Calibri" w:hAnsi="Times New Roman" w:cs="Times New Roman"/>
                <w:sz w:val="18"/>
                <w:szCs w:val="18"/>
              </w:rPr>
              <w:t>- оценка в баллах по подкритерию «Опыт исполнения аналогичных договоров»</w:t>
            </w:r>
          </w:p>
        </w:tc>
      </w:tr>
    </w:tbl>
    <w:p w14:paraId="14D917C8" w14:textId="77777777" w:rsidR="00E17411" w:rsidRPr="00A022A7" w:rsidRDefault="00E17411" w:rsidP="00E17411">
      <w:pPr>
        <w:tabs>
          <w:tab w:val="left" w:pos="851"/>
        </w:tabs>
        <w:rPr>
          <w:b/>
        </w:rPr>
      </w:pPr>
    </w:p>
    <w:p w14:paraId="67721B10" w14:textId="77777777" w:rsidR="00E17411" w:rsidRPr="00A022A7" w:rsidRDefault="00E17411" w:rsidP="00E17411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1F8512A0" w14:textId="77777777" w:rsidR="00E17411" w:rsidRPr="00A022A7" w:rsidRDefault="00B4531D" w:rsidP="00E17411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4F28477C" w14:textId="77777777" w:rsidR="00E17411" w:rsidRPr="00A022A7" w:rsidRDefault="00E17411" w:rsidP="00E17411">
      <w:pPr>
        <w:ind w:firstLine="851"/>
        <w:rPr>
          <w:rFonts w:eastAsia="Calibri"/>
          <w:i/>
          <w:sz w:val="20"/>
          <w:szCs w:val="20"/>
        </w:rPr>
      </w:pPr>
      <w:r w:rsidRPr="00A022A7">
        <w:rPr>
          <w:rFonts w:eastAsia="Calibri"/>
          <w:i/>
          <w:sz w:val="20"/>
          <w:szCs w:val="20"/>
        </w:rPr>
        <w:t>где:</w:t>
      </w:r>
    </w:p>
    <w:p w14:paraId="574B4533" w14:textId="77777777" w:rsidR="00E17411" w:rsidRPr="00A022A7" w:rsidRDefault="00B4531D" w:rsidP="00E17411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bCs/>
          <w:sz w:val="20"/>
          <w:szCs w:val="20"/>
        </w:rPr>
        <w:t> </w:t>
      </w:r>
      <w:r w:rsidR="00E17411" w:rsidRPr="00A022A7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7DAA979B" w14:textId="77777777" w:rsidR="00E17411" w:rsidRPr="00A022A7" w:rsidRDefault="00B4531D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 xml:space="preserve"> - </w:t>
      </w:r>
      <w:r w:rsidR="00E17411" w:rsidRPr="00A022A7">
        <w:rPr>
          <w:rFonts w:eastAsia="Calibri"/>
          <w:sz w:val="20"/>
          <w:szCs w:val="20"/>
        </w:rPr>
        <w:t>оценка в баллах по ценовому критерию;</w:t>
      </w:r>
    </w:p>
    <w:p w14:paraId="14870C99" w14:textId="11008B9E" w:rsidR="00E17411" w:rsidRPr="00A022A7" w:rsidRDefault="00B4531D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sz w:val="20"/>
          <w:szCs w:val="20"/>
        </w:rPr>
        <w:t>- оценка в баллах по критерию «</w:t>
      </w:r>
      <w:r w:rsidR="001B6D0E" w:rsidRPr="001B6D0E">
        <w:rPr>
          <w:rFonts w:eastAsia="Calibri"/>
          <w:sz w:val="20"/>
          <w:szCs w:val="20"/>
        </w:rPr>
        <w:t>Опыт работы, связанный с предметом договора</w:t>
      </w:r>
      <w:r w:rsidR="00E17411" w:rsidRPr="001B6D0E">
        <w:rPr>
          <w:rFonts w:eastAsia="Calibri"/>
          <w:sz w:val="20"/>
          <w:szCs w:val="20"/>
        </w:rPr>
        <w:t>»</w:t>
      </w:r>
      <w:r w:rsidR="00E17411" w:rsidRPr="00A022A7">
        <w:rPr>
          <w:rFonts w:eastAsia="Calibri"/>
          <w:sz w:val="20"/>
          <w:szCs w:val="20"/>
        </w:rPr>
        <w:t>.</w:t>
      </w:r>
    </w:p>
    <w:p w14:paraId="1BFB03A7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A022A7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A022A7">
        <w:rPr>
          <w:rFonts w:eastAsia="Calibri"/>
          <w:bCs/>
          <w:sz w:val="20"/>
          <w:szCs w:val="20"/>
        </w:rPr>
        <w:t>закупки</w:t>
      </w:r>
      <w:r w:rsidRPr="00A022A7">
        <w:rPr>
          <w:rFonts w:eastAsia="Calibri"/>
          <w:sz w:val="20"/>
          <w:szCs w:val="20"/>
        </w:rPr>
        <w:t>.</w:t>
      </w:r>
    </w:p>
    <w:p w14:paraId="07C7EEBE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Наивысшее место в итоговом рейтинге (</w:t>
      </w:r>
      <w:proofErr w:type="spellStart"/>
      <w:r w:rsidRPr="00A022A7">
        <w:rPr>
          <w:rFonts w:eastAsia="Calibri"/>
          <w:sz w:val="20"/>
          <w:szCs w:val="20"/>
        </w:rPr>
        <w:t>ранжировке</w:t>
      </w:r>
      <w:proofErr w:type="spellEnd"/>
      <w:r w:rsidRPr="00A022A7">
        <w:rPr>
          <w:rFonts w:eastAsia="Calibri"/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A022A7">
        <w:rPr>
          <w:rFonts w:eastAsia="Calibri"/>
          <w:bCs/>
          <w:sz w:val="20"/>
          <w:szCs w:val="20"/>
        </w:rPr>
        <w:t>).</w:t>
      </w:r>
    </w:p>
    <w:p w14:paraId="1C1EB708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16076BC" w14:textId="77777777" w:rsidR="00E17411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6F5984C" w14:textId="280EF6FE" w:rsidR="00FE1974" w:rsidRPr="00A022A7" w:rsidRDefault="00FE1974" w:rsidP="00CE73EF">
      <w:pPr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A022A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A022A7">
        <w:rPr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10D6F088" w14:textId="7D57B10A" w:rsidR="000C42D9" w:rsidRPr="006F450A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6556BA" w:rsidRPr="006556BA">
        <w:rPr>
          <w:b/>
          <w:sz w:val="20"/>
          <w:szCs w:val="20"/>
        </w:rPr>
        <w:t>выполнение работ по организации мероприятий по благоустройству территории города Мурманска в части устройства катка для массового катания с искусственным покрытием</w:t>
      </w:r>
      <w:r w:rsidR="002410D2" w:rsidRPr="006556BA">
        <w:rPr>
          <w:b/>
          <w:sz w:val="20"/>
          <w:szCs w:val="20"/>
        </w:rPr>
        <w:t>.</w:t>
      </w:r>
    </w:p>
    <w:p w14:paraId="14C0FE60" w14:textId="77777777" w:rsidR="009150C6" w:rsidRPr="005A65B9" w:rsidRDefault="009150C6" w:rsidP="009150C6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p w14:paraId="4AEB61E5" w14:textId="77777777" w:rsidR="009150C6" w:rsidRPr="005A65B9" w:rsidRDefault="009150C6" w:rsidP="009150C6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022"/>
        <w:gridCol w:w="567"/>
        <w:gridCol w:w="567"/>
        <w:gridCol w:w="1276"/>
        <w:gridCol w:w="1275"/>
        <w:gridCol w:w="1276"/>
        <w:gridCol w:w="1276"/>
        <w:gridCol w:w="1134"/>
        <w:gridCol w:w="1559"/>
        <w:gridCol w:w="2693"/>
        <w:gridCol w:w="1560"/>
      </w:tblGrid>
      <w:tr w:rsidR="009150C6" w:rsidRPr="005A65B9" w14:paraId="3EAE3502" w14:textId="77777777" w:rsidTr="00752734">
        <w:trPr>
          <w:trHeight w:val="356"/>
        </w:trPr>
        <w:tc>
          <w:tcPr>
            <w:tcW w:w="417" w:type="dxa"/>
            <w:vMerge w:val="restart"/>
            <w:vAlign w:val="center"/>
          </w:tcPr>
          <w:p w14:paraId="431770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22" w:type="dxa"/>
            <w:vMerge w:val="restart"/>
            <w:vAlign w:val="center"/>
          </w:tcPr>
          <w:p w14:paraId="754F1D7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7729885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0F612BA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1DD3A338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5A65B9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3969" w:type="dxa"/>
            <w:gridSpan w:val="3"/>
            <w:vAlign w:val="center"/>
          </w:tcPr>
          <w:p w14:paraId="5B296C1D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НМЦК</w:t>
            </w:r>
          </w:p>
        </w:tc>
        <w:tc>
          <w:tcPr>
            <w:tcW w:w="4253" w:type="dxa"/>
            <w:gridSpan w:val="2"/>
          </w:tcPr>
          <w:p w14:paraId="5F258D65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определяемая методом сопоставимых рыночных цен (анализа рынка)</w:t>
            </w:r>
            <w:r w:rsidRPr="005A65B9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9150C6" w:rsidRPr="005A65B9" w14:paraId="69B9D04C" w14:textId="77777777" w:rsidTr="00752734">
        <w:trPr>
          <w:trHeight w:val="2492"/>
        </w:trPr>
        <w:tc>
          <w:tcPr>
            <w:tcW w:w="417" w:type="dxa"/>
            <w:vMerge/>
            <w:vAlign w:val="center"/>
          </w:tcPr>
          <w:p w14:paraId="3C3454F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vAlign w:val="center"/>
          </w:tcPr>
          <w:p w14:paraId="3EAD176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16855D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AB1D725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978F91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№1 </w:t>
            </w:r>
          </w:p>
          <w:p w14:paraId="286B8173" w14:textId="1FD3ACD0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б/н от </w:t>
            </w:r>
            <w:r w:rsidR="00923AD2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</w:t>
            </w:r>
            <w:r w:rsidR="00923AD2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.2021 г.</w:t>
            </w:r>
          </w:p>
          <w:p w14:paraId="3F51CF1A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082E65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8CCA0C0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>Поставщик №2</w:t>
            </w:r>
          </w:p>
          <w:p w14:paraId="5D3FE893" w14:textId="0B0FC88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923AD2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</w:t>
            </w:r>
            <w:r w:rsidR="00923AD2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.2021 г.</w:t>
            </w:r>
          </w:p>
          <w:p w14:paraId="77CA2EE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277775E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2B2464" w14:textId="77777777" w:rsidR="009150C6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E2008F6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№3 </w:t>
            </w:r>
          </w:p>
          <w:p w14:paraId="2E04B024" w14:textId="3BB54845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6556BA"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</w:t>
            </w:r>
            <w:r w:rsidR="006556BA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.2021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г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04E628C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CB709A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4F9F759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930D90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134" w:type="dxa"/>
            <w:noWrap/>
            <w:vAlign w:val="center"/>
          </w:tcPr>
          <w:p w14:paraId="787C2D4B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EE28A3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3DE008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56C727FD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52E2BF" wp14:editId="1AD17CFA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noWrap/>
            <w:vAlign w:val="center"/>
          </w:tcPr>
          <w:p w14:paraId="3155F2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9504670" w14:textId="77777777" w:rsidR="009150C6" w:rsidRPr="005A65B9" w:rsidRDefault="009150C6" w:rsidP="007527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1B43026" wp14:editId="28A81DE3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781050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5A65B9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4253" w:type="dxa"/>
            <w:gridSpan w:val="2"/>
            <w:vAlign w:val="center"/>
          </w:tcPr>
          <w:p w14:paraId="27AB17B9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с учетом округления цены (руб.)</w:t>
            </w:r>
          </w:p>
        </w:tc>
      </w:tr>
      <w:tr w:rsidR="006556BA" w:rsidRPr="005A65B9" w14:paraId="3E6E7BBF" w14:textId="77777777" w:rsidTr="00752734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E760" w14:textId="77777777" w:rsidR="006556BA" w:rsidRPr="005A65B9" w:rsidRDefault="006556BA" w:rsidP="006556BA">
            <w:pPr>
              <w:jc w:val="center"/>
              <w:rPr>
                <w:color w:val="000000"/>
                <w:sz w:val="18"/>
                <w:szCs w:val="18"/>
              </w:rPr>
            </w:pPr>
            <w:r w:rsidRPr="005A65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5119B3" w14:textId="75AEBB65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Стоимость выполнения СМР согласно Технического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53E156" w14:textId="1DBB8631" w:rsidR="006556BA" w:rsidRPr="006556BA" w:rsidRDefault="006556BA" w:rsidP="006556B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556BA">
              <w:rPr>
                <w:color w:val="000000"/>
                <w:sz w:val="18"/>
                <w:szCs w:val="18"/>
              </w:rPr>
              <w:t>усл</w:t>
            </w:r>
            <w:proofErr w:type="spellEnd"/>
            <w:r w:rsidRPr="006556BA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556BA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87D14" w14:textId="33EE73A2" w:rsidR="006556BA" w:rsidRPr="006556BA" w:rsidRDefault="006556BA" w:rsidP="006556B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34420" w14:textId="154D27F6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12 500 000,00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73FD" w14:textId="24037011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12 050 000,00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8E1E" w14:textId="1885B0A1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11 800 000,00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139A" w14:textId="340D9DEB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12 116 666,67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DAC7" w14:textId="2C6B1E23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354 729,94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EA58" w14:textId="73CB0A31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1AF1" w14:textId="3B4E2121" w:rsidR="006556BA" w:rsidRPr="006556BA" w:rsidRDefault="006556BA" w:rsidP="006556BA">
            <w:pPr>
              <w:jc w:val="center"/>
              <w:rPr>
                <w:sz w:val="18"/>
                <w:szCs w:val="18"/>
                <w:highlight w:val="yellow"/>
              </w:rPr>
            </w:pPr>
            <w:r w:rsidRPr="006556BA">
              <w:rPr>
                <w:color w:val="000000"/>
                <w:sz w:val="18"/>
                <w:szCs w:val="18"/>
              </w:rPr>
              <w:t>12 116 666,67</w:t>
            </w:r>
          </w:p>
        </w:tc>
      </w:tr>
      <w:tr w:rsidR="006556BA" w:rsidRPr="005A65B9" w14:paraId="659EE6DA" w14:textId="77777777" w:rsidTr="00752734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492A" w14:textId="7B27AA5C" w:rsidR="006556BA" w:rsidRPr="005A65B9" w:rsidRDefault="006556BA" w:rsidP="006556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21B363" w14:textId="4B58083A" w:rsidR="006556BA" w:rsidRPr="006556BA" w:rsidRDefault="006556BA" w:rsidP="006556BA">
            <w:pPr>
              <w:jc w:val="center"/>
              <w:rPr>
                <w:color w:val="000000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Стоимость содержания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EBC2B8" w14:textId="3F59D3FE" w:rsidR="006556BA" w:rsidRPr="006556BA" w:rsidRDefault="006556BA" w:rsidP="006556B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556BA">
              <w:rPr>
                <w:color w:val="000000"/>
                <w:sz w:val="18"/>
                <w:szCs w:val="18"/>
              </w:rPr>
              <w:t>усл</w:t>
            </w:r>
            <w:proofErr w:type="spellEnd"/>
            <w:r w:rsidRPr="006556BA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556BA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99D9F2" w14:textId="74268B6A" w:rsidR="006556BA" w:rsidRPr="006556BA" w:rsidRDefault="006556BA" w:rsidP="006556BA">
            <w:pPr>
              <w:jc w:val="center"/>
              <w:rPr>
                <w:bCs/>
                <w:color w:val="000000"/>
                <w:kern w:val="28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4AEF3C" w14:textId="05BF610A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8DDD" w14:textId="19FA761B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328D" w14:textId="3891A980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07D7" w14:textId="4720561C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583 333,33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9AEB" w14:textId="3E945C5E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256 580,07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2514" w14:textId="5CA86713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43,99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45D6" w14:textId="43873771" w:rsidR="006556BA" w:rsidRPr="006556BA" w:rsidRDefault="006556BA" w:rsidP="006556BA">
            <w:pPr>
              <w:jc w:val="center"/>
              <w:rPr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583 333,33</w:t>
            </w:r>
          </w:p>
        </w:tc>
      </w:tr>
      <w:tr w:rsidR="009150C6" w:rsidRPr="005A65B9" w14:paraId="06202C3C" w14:textId="77777777" w:rsidTr="00752734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2F8E3351" w14:textId="77777777" w:rsidR="009150C6" w:rsidRPr="005A65B9" w:rsidRDefault="009150C6" w:rsidP="0075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537799" w14:textId="0DAA69D2" w:rsidR="009150C6" w:rsidRPr="005A65B9" w:rsidRDefault="006556BA" w:rsidP="007527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12 700</w:t>
            </w:r>
            <w:r w:rsidR="009150C6">
              <w:rPr>
                <w:color w:val="000000"/>
                <w:sz w:val="20"/>
                <w:szCs w:val="20"/>
              </w:rPr>
              <w:t> 000,00</w:t>
            </w:r>
          </w:p>
        </w:tc>
      </w:tr>
    </w:tbl>
    <w:p w14:paraId="1B4DB2D2" w14:textId="77777777" w:rsidR="009150C6" w:rsidRPr="005A65B9" w:rsidRDefault="009150C6" w:rsidP="009150C6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0ED1DE89" w14:textId="051C9654" w:rsidR="009150C6" w:rsidRPr="005A65B9" w:rsidRDefault="009150C6" w:rsidP="009150C6">
      <w:pPr>
        <w:jc w:val="both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6556BA" w:rsidRPr="006556BA">
        <w:rPr>
          <w:color w:val="000000"/>
          <w:sz w:val="18"/>
          <w:szCs w:val="18"/>
        </w:rPr>
        <w:t>12 700 000 (двенадцать миллионов семьсот тысяч) рублей 00 копеек</w:t>
      </w:r>
      <w:r w:rsidRPr="005A65B9">
        <w:rPr>
          <w:color w:val="000000"/>
          <w:sz w:val="18"/>
          <w:szCs w:val="18"/>
        </w:rPr>
        <w:t>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2021 год.</w:t>
      </w:r>
    </w:p>
    <w:p w14:paraId="165EE7EF" w14:textId="77777777" w:rsidR="004B57E4" w:rsidRPr="006556BA" w:rsidRDefault="004B57E4" w:rsidP="009150C6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sectPr w:rsidR="004B57E4" w:rsidRPr="006556BA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9F924" w16cex:dateUtc="2021-11-25T08:59:00Z"/>
  <w16cex:commentExtensible w16cex:durableId="2549F9D8" w16cex:dateUtc="2021-11-25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036674" w16cid:durableId="2549F924"/>
  <w16cid:commentId w16cid:paraId="31623B5A" w16cid:durableId="2549F9D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752734" w:rsidRDefault="00752734">
      <w:r>
        <w:separator/>
      </w:r>
    </w:p>
  </w:endnote>
  <w:endnote w:type="continuationSeparator" w:id="0">
    <w:p w14:paraId="3E0EA714" w14:textId="77777777" w:rsidR="00752734" w:rsidRDefault="0075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752734" w:rsidRDefault="00752734">
      <w:r>
        <w:separator/>
      </w:r>
    </w:p>
  </w:footnote>
  <w:footnote w:type="continuationSeparator" w:id="0">
    <w:p w14:paraId="35329923" w14:textId="77777777" w:rsidR="00752734" w:rsidRDefault="00752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39E041C3" w:rsidR="00752734" w:rsidRDefault="00752734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B4531D">
      <w:rPr>
        <w:noProof/>
      </w:rPr>
      <w:t>12</w:t>
    </w:r>
    <w:r>
      <w:fldChar w:fldCharType="end"/>
    </w:r>
  </w:p>
  <w:p w14:paraId="071AEB4F" w14:textId="77777777" w:rsidR="00752734" w:rsidRDefault="0075273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710B932E" w:rsidR="00752734" w:rsidRDefault="00752734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B4531D">
      <w:rPr>
        <w:noProof/>
      </w:rPr>
      <w:t>16</w:t>
    </w:r>
    <w:r>
      <w:fldChar w:fldCharType="end"/>
    </w:r>
  </w:p>
  <w:p w14:paraId="7D144418" w14:textId="77777777" w:rsidR="00752734" w:rsidRDefault="0075273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752734" w:rsidRDefault="00752734">
    <w:pPr>
      <w:pStyle w:val="aa"/>
      <w:jc w:val="center"/>
    </w:pPr>
  </w:p>
  <w:p w14:paraId="401D0271" w14:textId="77777777" w:rsidR="00752734" w:rsidRDefault="0075273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1D3D"/>
    <w:rsid w:val="00084FDC"/>
    <w:rsid w:val="00085F18"/>
    <w:rsid w:val="000972FD"/>
    <w:rsid w:val="000B506C"/>
    <w:rsid w:val="000C2F84"/>
    <w:rsid w:val="000C42D9"/>
    <w:rsid w:val="000D036B"/>
    <w:rsid w:val="000D0F15"/>
    <w:rsid w:val="000D1C59"/>
    <w:rsid w:val="000D459C"/>
    <w:rsid w:val="000E4CE1"/>
    <w:rsid w:val="000F3DB1"/>
    <w:rsid w:val="000F433D"/>
    <w:rsid w:val="000F6767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739E4"/>
    <w:rsid w:val="001A7BEC"/>
    <w:rsid w:val="001B6D0E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16715"/>
    <w:rsid w:val="00220A38"/>
    <w:rsid w:val="002273A0"/>
    <w:rsid w:val="002320AD"/>
    <w:rsid w:val="002374EF"/>
    <w:rsid w:val="002405BB"/>
    <w:rsid w:val="002410D2"/>
    <w:rsid w:val="0024469A"/>
    <w:rsid w:val="00245560"/>
    <w:rsid w:val="0025154C"/>
    <w:rsid w:val="002527BA"/>
    <w:rsid w:val="00255FE1"/>
    <w:rsid w:val="002615DF"/>
    <w:rsid w:val="00263377"/>
    <w:rsid w:val="00280856"/>
    <w:rsid w:val="002813D4"/>
    <w:rsid w:val="00287757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18E"/>
    <w:rsid w:val="00301521"/>
    <w:rsid w:val="0030404B"/>
    <w:rsid w:val="003103BF"/>
    <w:rsid w:val="0031159C"/>
    <w:rsid w:val="00311DF1"/>
    <w:rsid w:val="0031387B"/>
    <w:rsid w:val="00321D72"/>
    <w:rsid w:val="003320EE"/>
    <w:rsid w:val="003337CD"/>
    <w:rsid w:val="0034177A"/>
    <w:rsid w:val="003665F4"/>
    <w:rsid w:val="00366EB8"/>
    <w:rsid w:val="00380686"/>
    <w:rsid w:val="00387B45"/>
    <w:rsid w:val="00390572"/>
    <w:rsid w:val="00394D6C"/>
    <w:rsid w:val="003A66E7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6D58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77FB8"/>
    <w:rsid w:val="00486610"/>
    <w:rsid w:val="00496C27"/>
    <w:rsid w:val="004B234B"/>
    <w:rsid w:val="004B57E4"/>
    <w:rsid w:val="004B652C"/>
    <w:rsid w:val="004C1E29"/>
    <w:rsid w:val="004C5858"/>
    <w:rsid w:val="004C777F"/>
    <w:rsid w:val="004D1ECF"/>
    <w:rsid w:val="005015BF"/>
    <w:rsid w:val="00504CBF"/>
    <w:rsid w:val="00506901"/>
    <w:rsid w:val="00514B8E"/>
    <w:rsid w:val="0053167D"/>
    <w:rsid w:val="0054251C"/>
    <w:rsid w:val="00542D74"/>
    <w:rsid w:val="00547AE4"/>
    <w:rsid w:val="00547E7C"/>
    <w:rsid w:val="00552958"/>
    <w:rsid w:val="0055766C"/>
    <w:rsid w:val="00557A8A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D4A1D"/>
    <w:rsid w:val="005E06F7"/>
    <w:rsid w:val="005E44BD"/>
    <w:rsid w:val="005F5EFD"/>
    <w:rsid w:val="005F71AD"/>
    <w:rsid w:val="0060017E"/>
    <w:rsid w:val="00620423"/>
    <w:rsid w:val="00630217"/>
    <w:rsid w:val="006341D4"/>
    <w:rsid w:val="00640867"/>
    <w:rsid w:val="006556BA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131A8"/>
    <w:rsid w:val="00727C8E"/>
    <w:rsid w:val="007313C3"/>
    <w:rsid w:val="00733B0C"/>
    <w:rsid w:val="00735A91"/>
    <w:rsid w:val="0073679D"/>
    <w:rsid w:val="00744C5E"/>
    <w:rsid w:val="00750546"/>
    <w:rsid w:val="00752734"/>
    <w:rsid w:val="00760080"/>
    <w:rsid w:val="00764F25"/>
    <w:rsid w:val="0076566D"/>
    <w:rsid w:val="00766DF5"/>
    <w:rsid w:val="007707CF"/>
    <w:rsid w:val="00775199"/>
    <w:rsid w:val="00784518"/>
    <w:rsid w:val="00784563"/>
    <w:rsid w:val="00791979"/>
    <w:rsid w:val="007921EA"/>
    <w:rsid w:val="0079513D"/>
    <w:rsid w:val="00795864"/>
    <w:rsid w:val="007A09B7"/>
    <w:rsid w:val="007A1262"/>
    <w:rsid w:val="007A6833"/>
    <w:rsid w:val="007B39F0"/>
    <w:rsid w:val="007D2224"/>
    <w:rsid w:val="007D3BF7"/>
    <w:rsid w:val="007E233C"/>
    <w:rsid w:val="008013ED"/>
    <w:rsid w:val="008046AF"/>
    <w:rsid w:val="0080701D"/>
    <w:rsid w:val="008074DE"/>
    <w:rsid w:val="00810B92"/>
    <w:rsid w:val="00823484"/>
    <w:rsid w:val="00833805"/>
    <w:rsid w:val="00850296"/>
    <w:rsid w:val="00854034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150C6"/>
    <w:rsid w:val="00923511"/>
    <w:rsid w:val="00923AD2"/>
    <w:rsid w:val="00923F8C"/>
    <w:rsid w:val="00935D85"/>
    <w:rsid w:val="00941D17"/>
    <w:rsid w:val="009442F7"/>
    <w:rsid w:val="00945E6D"/>
    <w:rsid w:val="009540F8"/>
    <w:rsid w:val="009551FC"/>
    <w:rsid w:val="009758DD"/>
    <w:rsid w:val="00990A21"/>
    <w:rsid w:val="0099124B"/>
    <w:rsid w:val="009920A0"/>
    <w:rsid w:val="009B475B"/>
    <w:rsid w:val="009C3339"/>
    <w:rsid w:val="009D417E"/>
    <w:rsid w:val="009D5EE1"/>
    <w:rsid w:val="009E0944"/>
    <w:rsid w:val="009E0D4F"/>
    <w:rsid w:val="00A022A7"/>
    <w:rsid w:val="00A2057F"/>
    <w:rsid w:val="00A26D35"/>
    <w:rsid w:val="00A32F35"/>
    <w:rsid w:val="00A34E90"/>
    <w:rsid w:val="00A44282"/>
    <w:rsid w:val="00A466D9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B0247"/>
    <w:rsid w:val="00AD270D"/>
    <w:rsid w:val="00AE2800"/>
    <w:rsid w:val="00AE3917"/>
    <w:rsid w:val="00AE59EA"/>
    <w:rsid w:val="00AE6C1D"/>
    <w:rsid w:val="00B12DCF"/>
    <w:rsid w:val="00B15B11"/>
    <w:rsid w:val="00B16722"/>
    <w:rsid w:val="00B2150F"/>
    <w:rsid w:val="00B24BAD"/>
    <w:rsid w:val="00B4531D"/>
    <w:rsid w:val="00B5175F"/>
    <w:rsid w:val="00B518EE"/>
    <w:rsid w:val="00B613AA"/>
    <w:rsid w:val="00B62334"/>
    <w:rsid w:val="00B64E73"/>
    <w:rsid w:val="00B6721A"/>
    <w:rsid w:val="00B7637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45B1"/>
    <w:rsid w:val="00BD538D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65558"/>
    <w:rsid w:val="00C80C84"/>
    <w:rsid w:val="00C90573"/>
    <w:rsid w:val="00C94409"/>
    <w:rsid w:val="00C9536B"/>
    <w:rsid w:val="00CB1B8C"/>
    <w:rsid w:val="00CB2442"/>
    <w:rsid w:val="00CC63A5"/>
    <w:rsid w:val="00CD2758"/>
    <w:rsid w:val="00CE1CA7"/>
    <w:rsid w:val="00CE4420"/>
    <w:rsid w:val="00CE73EF"/>
    <w:rsid w:val="00CF73C6"/>
    <w:rsid w:val="00D01CA4"/>
    <w:rsid w:val="00D07E27"/>
    <w:rsid w:val="00D114B3"/>
    <w:rsid w:val="00D15910"/>
    <w:rsid w:val="00D2509E"/>
    <w:rsid w:val="00D25499"/>
    <w:rsid w:val="00D256DC"/>
    <w:rsid w:val="00D26216"/>
    <w:rsid w:val="00D30422"/>
    <w:rsid w:val="00D31772"/>
    <w:rsid w:val="00D34114"/>
    <w:rsid w:val="00D3419E"/>
    <w:rsid w:val="00D343F7"/>
    <w:rsid w:val="00D35FCA"/>
    <w:rsid w:val="00D37E2C"/>
    <w:rsid w:val="00D5204C"/>
    <w:rsid w:val="00D669CB"/>
    <w:rsid w:val="00D70149"/>
    <w:rsid w:val="00D761BA"/>
    <w:rsid w:val="00D961C2"/>
    <w:rsid w:val="00DA4926"/>
    <w:rsid w:val="00DA4967"/>
    <w:rsid w:val="00DA4E33"/>
    <w:rsid w:val="00DB07BA"/>
    <w:rsid w:val="00DD3DA5"/>
    <w:rsid w:val="00DD6186"/>
    <w:rsid w:val="00DF5FE0"/>
    <w:rsid w:val="00E10C26"/>
    <w:rsid w:val="00E17411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86520"/>
    <w:rsid w:val="00E95055"/>
    <w:rsid w:val="00EA2717"/>
    <w:rsid w:val="00EB6C9D"/>
    <w:rsid w:val="00EC20B0"/>
    <w:rsid w:val="00EC27AB"/>
    <w:rsid w:val="00EC574F"/>
    <w:rsid w:val="00ED0590"/>
    <w:rsid w:val="00ED75D0"/>
    <w:rsid w:val="00F03B8B"/>
    <w:rsid w:val="00F164F8"/>
    <w:rsid w:val="00F205CC"/>
    <w:rsid w:val="00F24F8E"/>
    <w:rsid w:val="00F314E8"/>
    <w:rsid w:val="00F33582"/>
    <w:rsid w:val="00F4066B"/>
    <w:rsid w:val="00F50335"/>
    <w:rsid w:val="00F52428"/>
    <w:rsid w:val="00F552FF"/>
    <w:rsid w:val="00F62AFB"/>
    <w:rsid w:val="00F663CE"/>
    <w:rsid w:val="00F83545"/>
    <w:rsid w:val="00F86FF7"/>
    <w:rsid w:val="00F916E6"/>
    <w:rsid w:val="00F921E3"/>
    <w:rsid w:val="00F96D64"/>
    <w:rsid w:val="00FA04C3"/>
    <w:rsid w:val="00FA253D"/>
    <w:rsid w:val="00FC7DD4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AF970A-C17F-4D48-B536-18125EB0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7298</Words>
  <Characters>41600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3</cp:revision>
  <cp:lastPrinted>2021-12-12T14:06:00Z</cp:lastPrinted>
  <dcterms:created xsi:type="dcterms:W3CDTF">2021-12-14T11:53:00Z</dcterms:created>
  <dcterms:modified xsi:type="dcterms:W3CDTF">2021-12-14T12:11:00Z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